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r>
        <w:t>窗体顶端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/>
        <w:jc w:val="left"/>
      </w:pPr>
      <w:r>
        <w:rPr>
          <w:rFonts w:ascii="仿宋" w:hAnsi="仿宋" w:eastAsia="仿宋" w:cs="宋体"/>
          <w:color w:val="000000"/>
          <w:kern w:val="0"/>
          <w:sz w:val="32"/>
          <w:szCs w:val="32"/>
        </w:rPr>
        <w:t>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班级</w:t>
      </w:r>
      <w:r>
        <w:rPr>
          <w:rFonts w:ascii="仿宋" w:hAnsi="仿宋" w:eastAsia="仿宋" w:cs="宋体"/>
          <w:color w:val="000000"/>
          <w:kern w:val="0"/>
          <w:sz w:val="32"/>
          <w:szCs w:val="32"/>
        </w:rPr>
        <w:t>：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 xml:space="preserve">    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根据省委统战部《关于开展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2018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年泛海公益基金会、省光彩事业促进会“同心</w:t>
      </w:r>
      <w:r>
        <w:rPr>
          <w:rFonts w:hint="eastAsia" w:ascii="仿宋" w:hAnsi="仿宋" w:eastAsia="宋体" w:cs="宋体"/>
          <w:color w:val="000000"/>
          <w:kern w:val="0"/>
          <w:sz w:val="32"/>
          <w:szCs w:val="32"/>
        </w:rPr>
        <w:t>•</w:t>
      </w:r>
      <w:r>
        <w:rPr>
          <w:rFonts w:hint="eastAsia" w:ascii="仿宋" w:hAnsi="仿宋" w:eastAsia="仿宋" w:cs="仿宋_GB2312"/>
          <w:color w:val="000000"/>
          <w:kern w:val="0"/>
          <w:sz w:val="32"/>
          <w:szCs w:val="32"/>
        </w:rPr>
        <w:t>光彩助学行动”的通知》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(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鲁统综〔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2018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15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)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精神，现将我校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2018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年“同心</w:t>
      </w:r>
      <w:r>
        <w:rPr>
          <w:rFonts w:ascii="微软雅黑" w:hAnsi="微软雅黑" w:eastAsia="微软雅黑" w:cs="微软雅黑"/>
          <w:color w:val="000000"/>
          <w:kern w:val="0"/>
          <w:sz w:val="32"/>
          <w:szCs w:val="32"/>
        </w:rPr>
        <w:t>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光彩助学行动”助学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金评选工作有关事宜通知如下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 xml:space="preserve">: 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3" w:firstLineChars="200"/>
        <w:jc w:val="left"/>
      </w:pPr>
      <w:r>
        <w:rPr>
          <w:rStyle w:val="4"/>
          <w:rFonts w:hint="eastAsia" w:ascii="仿宋" w:hAnsi="仿宋" w:eastAsia="仿宋" w:cs="宋体"/>
          <w:bCs w:val="0"/>
          <w:color w:val="000000"/>
          <w:kern w:val="0"/>
          <w:sz w:val="32"/>
          <w:szCs w:val="32"/>
        </w:rPr>
        <w:t>一、评选范围和资助名额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评选范围为我校品学兼优、家庭经济特别困难的全日制在校本专科学生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（不含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2018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届毕业生）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，曾经获得光彩助学金或2018年已获得其他渠道资助的学生不参与本次评选。2018年，我校共有50个资助名额，每人资助5000元。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名额分配情况见附件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30" w:firstLineChars="196"/>
        <w:jc w:val="left"/>
      </w:pPr>
      <w:r>
        <w:rPr>
          <w:rStyle w:val="4"/>
          <w:rFonts w:hint="eastAsia" w:ascii="仿宋" w:hAnsi="仿宋" w:eastAsia="仿宋" w:cs="宋体"/>
          <w:bCs w:val="0"/>
          <w:color w:val="000000"/>
          <w:kern w:val="0"/>
          <w:sz w:val="32"/>
          <w:szCs w:val="32"/>
        </w:rPr>
        <w:t>二、评选条件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1.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思想政治素质好，热爱集体，乐于助人，艰苦朴素；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学习刻苦，遵守纪律，成绩优秀（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2017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—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2018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学年第一学期学习成绩排名和综合成绩排名均位于前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30%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）；学年内无任何违纪情况，无不合格课程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(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校公选课、双专业双学位课程除外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)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；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</w:pPr>
      <w:r>
        <w:rPr>
          <w:rFonts w:hint="eastAsia" w:ascii="仿宋" w:hAnsi="仿宋" w:eastAsia="仿宋" w:cs="仿宋"/>
          <w:bCs/>
          <w:color w:val="000000"/>
          <w:sz w:val="32"/>
          <w:szCs w:val="32"/>
          <w:lang w:val="en-US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/>
        </w:rPr>
        <w:t>.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家庭生活特别困难。具体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范围如下：建档立卡贫困家庭及享受最低生活保障家庭的子女；家庭生活困难的革命烈士子女；孤儿，且现监护人无力承担学生上学、生活费用；经济特别困难的单亲家庭子女；因受灾、疾病、父母丧失劳动能力造成家庭经济特困的学生；其他困难学生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/>
        </w:rPr>
        <w:t>4.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同等条件下，革命烈士子女；统战工作对象，如民主党派成员、无党派代表人士和少数民族代表人士的子女和孙子女，台籍和少数民族学生等优先。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30" w:firstLineChars="196"/>
        <w:jc w:val="left"/>
      </w:pPr>
      <w:r>
        <w:rPr>
          <w:rStyle w:val="4"/>
          <w:rFonts w:hint="eastAsia" w:ascii="仿宋" w:hAnsi="仿宋" w:eastAsia="仿宋" w:cs="宋体"/>
          <w:bCs w:val="0"/>
          <w:color w:val="000000"/>
          <w:kern w:val="0"/>
          <w:sz w:val="32"/>
          <w:szCs w:val="32"/>
        </w:rPr>
        <w:t>三、评选程序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1.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个人申请。符合条件的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学生本人向所在学院提出申请，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如实填写《“同心·光彩助学行动”推荐表》（见附件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），同时提供家庭经济困难的有效证件或证明（如低保证、家庭困难救助证、烈属证、孤儿、家庭受灾及家庭成员重病等证明）。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初评初审。各学院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学生资助工作小组审查学生申请材料，确定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拟受助学生名单，并在全院范围内进行公示。公示无异议后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将表格及相关证明复印件报送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学生资助管理中心。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3.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学校评审。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党委统战部、党委学生工作部组织评审，确定受助候选人名单，面向全校师生公示5天。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4.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名单上报。受助名单经学校党委研究同意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后，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连同推荐表及有关证件（证明）复印件上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报山东省“同心·光彩助学行动”领导小组办公室。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3" w:firstLineChars="200"/>
        <w:jc w:val="left"/>
      </w:pPr>
      <w:r>
        <w:rPr>
          <w:rStyle w:val="4"/>
          <w:rFonts w:hint="eastAsia" w:ascii="仿宋" w:hAnsi="仿宋" w:eastAsia="仿宋" w:cs="宋体"/>
          <w:color w:val="000000"/>
          <w:kern w:val="0"/>
          <w:sz w:val="32"/>
          <w:szCs w:val="32"/>
        </w:rPr>
        <w:t>四、材料报送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1.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有关材料。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）《”同心光彩助学行动“受助学生推荐表》（附件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）电子版和纸质版（一式两份，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A4纸双面打印，严格按照“填表说明”填写，不能更改表格格式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）家庭经济困难的有效证件或证明（如低保证、家庭困难救助证、烈属证、孤儿、家庭受灾及家庭成员重病等证明）统一复印到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A4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纸上（一式两份）。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）《“同心</w:t>
      </w:r>
      <w:r>
        <w:rPr>
          <w:rFonts w:hint="eastAsia" w:ascii="微软雅黑" w:hAnsi="微软雅黑" w:eastAsia="微软雅黑" w:cs="微软雅黑"/>
          <w:color w:val="000000"/>
          <w:kern w:val="0"/>
          <w:sz w:val="32"/>
          <w:szCs w:val="32"/>
        </w:rPr>
        <w:t>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光彩助学行动”受助学生候选人名单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》（附件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）电子版。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）《山东理工大学“同心</w:t>
      </w:r>
      <w:r>
        <w:rPr>
          <w:rFonts w:hint="eastAsia" w:ascii="仿宋" w:hAnsi="仿宋" w:eastAsia="宋体" w:cs="宋体"/>
          <w:color w:val="000000"/>
          <w:kern w:val="0"/>
          <w:sz w:val="32"/>
          <w:szCs w:val="32"/>
        </w:rPr>
        <w:t>•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光彩助学行动”情况摸底表》（附件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）纸质版（一式一份，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zh-CN"/>
        </w:rPr>
        <w:t>A4纸双面打印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）《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lang w:val="en-US"/>
        </w:rPr>
        <w:t>2017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年 “同心</w:t>
      </w:r>
      <w:r>
        <w:rPr>
          <w:rFonts w:hint="eastAsia" w:ascii="宋体" w:hAnsi="宋体" w:eastAsia="宋体" w:cs="宋体"/>
          <w:bCs/>
          <w:color w:val="000000"/>
          <w:kern w:val="0"/>
          <w:sz w:val="32"/>
          <w:szCs w:val="32"/>
        </w:rPr>
        <w:t>•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光彩助学行动”受助学生跟踪反馈表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》（附件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）电子版。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/>
        </w:rPr>
        <w:t>2.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报送时间。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请有意申报的同学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6月11日上午11点前交各辅导员老师处。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lang w:val="en-US"/>
        </w:rPr>
        <w:t>.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为帮助受助学生发展，中国泛海控股集团自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lang w:val="en-US"/>
        </w:rPr>
        <w:t>2016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lang w:val="en-US"/>
        </w:rPr>
        <w:t>8</w:t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月搭建了“泛海正能量”公益平台，将在求学、深造、创业、就业等方面为青年学生提供支持。各学院要大力宣传，积极组织历年“同心·光彩助学行动”受助学生及其他学生，本着自愿原则，加入“泛海正能量”公益平台。加入方式可登录网站</w:t>
      </w:r>
      <w:r>
        <w:rPr>
          <w:rFonts w:hint="eastAsia" w:ascii="仿宋" w:hAnsi="仿宋" w:eastAsia="仿宋" w:cs="宋体"/>
          <w:bCs/>
          <w:kern w:val="0"/>
          <w:sz w:val="32"/>
          <w:szCs w:val="32"/>
          <w:lang w:val="en-US"/>
        </w:rPr>
        <w:fldChar w:fldCharType="begin"/>
      </w:r>
      <w:r>
        <w:rPr>
          <w:rFonts w:hint="eastAsia" w:ascii="仿宋" w:hAnsi="仿宋" w:eastAsia="仿宋" w:cs="宋体"/>
          <w:bCs/>
          <w:kern w:val="0"/>
          <w:sz w:val="32"/>
          <w:szCs w:val="32"/>
          <w:lang w:val="en-US"/>
        </w:rPr>
        <w:instrText xml:space="preserve"> HYPERLINK "http:///" </w:instrText>
      </w:r>
      <w:r>
        <w:rPr>
          <w:rFonts w:hint="eastAsia" w:ascii="仿宋" w:hAnsi="仿宋" w:eastAsia="仿宋" w:cs="宋体"/>
          <w:bCs/>
          <w:kern w:val="0"/>
          <w:sz w:val="32"/>
          <w:szCs w:val="32"/>
          <w:lang w:val="en-US"/>
        </w:rPr>
        <w:fldChar w:fldCharType="separate"/>
      </w:r>
      <w:r>
        <w:rPr>
          <w:rStyle w:val="6"/>
          <w:rFonts w:hint="eastAsia" w:ascii="仿宋" w:hAnsi="仿宋" w:eastAsia="仿宋" w:cs="宋体"/>
          <w:bCs/>
          <w:color w:val="auto"/>
          <w:kern w:val="0"/>
          <w:sz w:val="32"/>
          <w:szCs w:val="32"/>
          <w:u w:val="none"/>
          <w:lang w:val="en-US"/>
        </w:rPr>
        <w:t>www.fhznl.cn</w:t>
      </w:r>
      <w:r>
        <w:rPr>
          <w:rFonts w:hint="eastAsia" w:ascii="仿宋" w:hAnsi="仿宋" w:eastAsia="仿宋" w:cs="宋体"/>
          <w:bCs/>
          <w:kern w:val="0"/>
          <w:sz w:val="32"/>
          <w:szCs w:val="32"/>
          <w:lang w:val="en-US"/>
        </w:rPr>
        <w:fldChar w:fldCharType="end"/>
      </w: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</w:rPr>
        <w:t>了解。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560" w:lineRule="exact"/>
        <w:ind w:left="150" w:right="150" w:firstLine="640" w:firstLineChars="200"/>
        <w:jc w:val="left"/>
      </w:pPr>
      <w:r>
        <w:rPr>
          <w:rFonts w:hint="eastAsia" w:ascii="仿宋" w:hAnsi="仿宋" w:eastAsia="仿宋" w:cs="宋体"/>
          <w:bCs/>
          <w:color w:val="000000"/>
          <w:kern w:val="0"/>
          <w:sz w:val="32"/>
          <w:szCs w:val="32"/>
          <w:lang w:val="en-US"/>
        </w:rPr>
        <w:t> 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 w:line="300" w:lineRule="auto"/>
        <w:ind w:left="150" w:right="150"/>
        <w:jc w:val="center"/>
      </w:pPr>
      <w:r>
        <w:rPr>
          <w:rFonts w:hint="eastAsia" w:ascii="宋体" w:hAnsi="宋体" w:eastAsia="宋体" w:cs="宋体"/>
          <w:color w:val="000000"/>
          <w:sz w:val="34"/>
          <w:szCs w:val="34"/>
          <w:lang w:val="en-US"/>
        </w:rPr>
        <w:drawing>
          <wp:inline distT="0" distB="0" distL="114300" distR="114300">
            <wp:extent cx="1971675" cy="1971675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</w:pPr>
      <w:r>
        <w:t>窗体底端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8B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333333"/>
      <w:u w:val="none"/>
    </w:rPr>
  </w:style>
  <w:style w:type="character" w:styleId="6">
    <w:name w:val="Hyperlink"/>
    <w:basedOn w:val="3"/>
    <w:uiPriority w:val="0"/>
    <w:rPr>
      <w:color w:val="333333"/>
      <w:u w:val="none"/>
    </w:rPr>
  </w:style>
  <w:style w:type="character" w:customStyle="1" w:styleId="8">
    <w:name w:val="rlbtext"/>
    <w:basedOn w:val="3"/>
    <w:uiPriority w:val="0"/>
    <w:rPr>
      <w:bdr w:val="none" w:color="auto" w:sz="0" w:space="0"/>
    </w:rPr>
  </w:style>
  <w:style w:type="character" w:customStyle="1" w:styleId="9">
    <w:name w:val="rufilewrap"/>
    <w:basedOn w:val="3"/>
    <w:uiPriority w:val="0"/>
    <w:rPr>
      <w:bdr w:val="none" w:color="auto" w:sz="0" w:space="0"/>
    </w:rPr>
  </w:style>
  <w:style w:type="paragraph" w:styleId="10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1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2018-06-09T06:33:41Z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