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pPr>
        <w:pStyle w:val="Heading1"/>
        <w:keepNext/>
        <w:keepLines w:val="0"/>
        <w:pageBreakBefore/>
        <w:widowControl/>
        <w:kinsoku/>
        <w:wordWrap/>
        <w:overflowPunct/>
        <w:topLinePunct w:val="0"/>
        <w:autoSpaceDE/>
        <w:autoSpaceDN w:val="0"/>
        <w:bidi w:val="0"/>
        <w:adjustRightInd/>
        <w:snapToGrid w:val="0"/>
        <w:spacing w:line="240" w:lineRule="auto"/>
        <w:jc w:val="center"/>
        <w:textAlignment w:val="center"/>
        <w:rPr>
          <w:rFonts w:hint="default"/>
        </w:rPr>
      </w:pPr>
      <w:bookmarkStart w:id="0" w:name="_Toc5646"/>
      <w:r>
        <w:rPr>
          <w:rFonts w:hint="default"/>
        </w:rPr>
        <w:t>智能建造专业</w:t>
      </w:r>
      <w:r>
        <w:rPr>
          <w:rFonts w:hint="default"/>
        </w:rPr>
        <w:br/>
      </w:r>
      <w:r>
        <w:rPr>
          <w:rFonts w:hint="default"/>
        </w:rPr>
        <w:t>本科人才培养方案</w:t>
      </w:r>
      <w:bookmarkEnd w:id="0"/>
    </w:p>
    <w:p>
      <w:pPr>
        <w:numPr>
          <w:ilvl w:val="0"/>
          <w:numId w:val="0"/>
        </w:numPr>
        <w:spacing w:line="360" w:lineRule="auto"/>
        <w:ind w:firstLine="420" w:firstLineChars="0"/>
        <w:rPr>
          <w:rFonts w:ascii="黑体" w:eastAsia="黑体" w:hAnsi="黑体" w:cs="黑体" w:hint="eastAsia"/>
          <w:snapToGrid w:val="0"/>
          <w:color w:val="000000"/>
          <w:spacing w:val="0"/>
          <w:w w:val="100"/>
          <w:kern w:val="0"/>
          <w:position w:val="0"/>
          <w:sz w:val="24"/>
          <w:szCs w:val="24"/>
        </w:rPr>
      </w:pPr>
      <w:r>
        <w:rPr>
          <w:rFonts w:ascii="黑体" w:eastAsia="黑体" w:hAnsi="黑体" w:cs="黑体" w:hint="eastAsia"/>
          <w:sz w:val="24"/>
          <w:szCs w:val="24"/>
          <w:highlight w:val="none"/>
          <w:lang w:val="en-US" w:eastAsia="zh-CN"/>
        </w:rPr>
        <w:t>所属学科门类：    专业类别：    专业代码：</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firstLineChars="200"/>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snapToGrid w:val="0"/>
          <w:color w:val="000000"/>
          <w:spacing w:val="0"/>
          <w:w w:val="100"/>
          <w:kern w:val="0"/>
          <w:position w:val="0"/>
          <w:szCs w:val="21"/>
        </w:rPr>
        <w:t>智能建造专业是 2018年由国家教育部正式批准新设的“新工科”专业，它是在信息技术与工程建造深度融合背景下提出的，具有典型的跨学科交叉特征，以建筑与土木、工程管理专业为基础，融合大数据、人工智能、物联网等现代信息技术等学科发展而成的新工科专业。该专业内涵与本质以建设工程的工程数据流、信息流为核心，将前沿信息技术融入工程全生命期和建筑产业全链条活动，围绕智能建造，构建系统性、全局性、集成性、交叉性的相关知识体系和能力体系。其应用领域涉及了建筑模块与智能集成设计、建筑智能施工技术、建筑智能装备、智能设施与防灾、智能运维与管理、建设工程信息管理、精益建造与智能供应链、建筑工程大数据管理等方向。智能建造专业是 2018年由国家教育部正式批准新设的“新工科”专业，它是在信息技术与工程建造深度融合背景下提出的，具有典型的跨学科交叉特征，以建筑与土木、工程管理专业为基础，融合大数据、人工智能、物联网等现代信息技术等学科发展而成的新工科专业。该专业内涵与本质以建设工程的工程数据流、信息流为核心，将前沿信息技术融入工程全生命期和建筑产业全链条活动，围绕智能建造，构建系统性、全局性、集成性、交叉性的相关知识体系和能力体系。其应用领域涉及了建筑模块与智能集成设计、建筑智能施工技术、建筑智能装备、智能设施与防灾、智能运维与管理、建设工程信息管理、精益建造与智能供应链、建筑工程大数据管理等方向。</w:t>
      </w:r>
    </w:p>
    <w:p>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ascii="Times New Roman" w:hAnsi="Times New Roman" w:cs="Times New Roman" w:hint="default"/>
          <w:b/>
          <w:spacing w:val="0"/>
          <w:w w:val="100"/>
          <w:kern w:val="0"/>
          <w:position w:val="0"/>
          <w:sz w:val="24"/>
        </w:rPr>
      </w:pPr>
      <w:r>
        <w:rPr>
          <w:rFonts w:ascii="Times New Roman" w:hAnsi="Times New Roman" w:cs="Times New Roman" w:hint="default"/>
          <w:b/>
          <w:spacing w:val="0"/>
          <w:w w:val="100"/>
          <w:kern w:val="0"/>
          <w:position w:val="0"/>
          <w:sz w:val="24"/>
        </w:rPr>
        <w:t>一、专业培养目标</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snapToGrid w:val="0"/>
          <w:color w:val="000000"/>
          <w:spacing w:val="0"/>
          <w:w w:val="100"/>
          <w:kern w:val="0"/>
          <w:position w:val="0"/>
          <w:szCs w:val="21"/>
        </w:rPr>
        <w:t>智能建造专业面向国家战略和未来工程建设需要，以培养德智体美劳全面发展的社会主义合格建设者和可靠接班人为总目标，培养科学与人文素养深厚，掌握建筑与土木、工程管理、信息技术等方面专业基础知识，能够对建筑产业全链条活动进行智能化、信息化的集成规划、设计和管理，具备系统思维、创新思维、团队协作、国际视野和引领意识的复合型人才。</w:t>
      </w:r>
      <w:r>
        <w:br/>
      </w:r>
      <w:r>
        <w:t>学生在毕业后5年左右预期能够实现以下目标：</w:t>
      </w:r>
      <w:r>
        <w:br/>
      </w:r>
      <w:r>
        <w:t>目标 1:具备坚定的理想信念，立志扎根人民，奉献国家，积极投身于新时代中国特色社会主义建设,勇于承担民族复兴的时代重任，熟悉工程建设和开发中所涉及的社会、健康、安全、法律和文化问题，并有效评估其对公众健康、环境、社会可持续发展的影响，具有高尚的品德修养与职业操守，良好的人文情怀。</w:t>
      </w:r>
      <w:r>
        <w:br/>
      </w:r>
      <w:r>
        <w:t>目标2：具有扎实的自然科学知识及建筑与土木、工程管理、信息技术等方面专业基础知识和基本技能，技能一定的项目管理的实践经验，能胜任建筑产业全链条活动的规划、设计、施工、运维、管理的智能建设工作，解决智能建造领域所涉及的复杂工程问题，具备注册工程师基本职业素养。</w:t>
      </w:r>
      <w:r>
        <w:br/>
      </w:r>
      <w:r>
        <w:t>目标 3:具有自主和终身学习能力，能够通过继续深造或随行业和职业发展终身持续学习，成为追求卓越的行业精英。</w:t>
      </w:r>
      <w:r>
        <w:br/>
      </w:r>
      <w:r>
        <w:t>目标 4:具有专业的系统思维和创新能力，具备较强的批判思维能力和求真创新素养，能在多学科背景下的团队合作中，胜任团队骨干成员或领导角色，具有一定的国际视野，具有高度的社会责任感，考虑社会、法律、环境等多种非技术因素的工程能力。</w:t>
      </w:r>
      <w:r>
        <w:br/>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snapToGrid w:val="0"/>
          <w:color w:val="000000"/>
          <w:spacing w:val="0"/>
          <w:w w:val="100"/>
          <w:kern w:val="0"/>
          <w:position w:val="0"/>
          <w:szCs w:val="21"/>
        </w:rPr>
        <w:t>学生在毕业后5年左右预期能够实现以下目标：</w:t>
      </w:r>
    </w:p>
    <w:p>
      <w:pPr>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left="0" w:right="74" w:firstLine="400" w:leftChars="0" w:rightChars="0" w:firstLineChars="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eastAsia="宋体" w:hAnsi="Times New Roman" w:cs="Times New Roman" w:hint="default"/>
          <w:snapToGrid w:val="0"/>
          <w:color w:val="000000"/>
          <w:spacing w:val="0"/>
          <w:w w:val="100"/>
          <w:kern w:val="0"/>
          <w:position w:val="0"/>
          <w:sz w:val="21"/>
          <w:szCs w:val="21"/>
          <w:lang w:val="en-US" w:eastAsia="zh-CN" w:bidi="ar-SA"/>
        </w:rPr>
        <w:t>1．</w:t>
      </w:r>
      <w:r>
        <w:rPr>
          <w:rFonts w:ascii="Times New Roman" w:hAnsi="Times New Roman" w:cs="Times New Roman" w:hint="default"/>
          <w:snapToGrid w:val="0"/>
          <w:color w:val="000000"/>
          <w:spacing w:val="0"/>
          <w:w w:val="100"/>
          <w:kern w:val="0"/>
          <w:position w:val="0"/>
          <w:szCs w:val="21"/>
        </w:rPr>
        <w:t>具备坚定的理想信念，立志扎根人民，奉献国家，积极投身于新时代中国特色社会主义建设,勇于承担民族复兴的时代重任，熟悉工程建设和开发中所涉及的社会、健康、安全、法律和文化问题，并有效评估其对公众健康、环境、社会可持续发展的影响，具有高尚的品德修养与职业操守，良好的人文情怀。</w:t>
      </w:r>
    </w:p>
    <w:p>
      <w:pPr>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left="0" w:right="74" w:firstLine="400" w:leftChars="0" w:rightChars="0" w:firstLineChars="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eastAsia="宋体" w:hAnsi="Times New Roman" w:cs="Times New Roman" w:hint="default"/>
          <w:snapToGrid w:val="0"/>
          <w:color w:val="000000"/>
          <w:spacing w:val="0"/>
          <w:w w:val="100"/>
          <w:kern w:val="0"/>
          <w:position w:val="0"/>
          <w:sz w:val="21"/>
          <w:szCs w:val="21"/>
          <w:lang w:val="en-US" w:eastAsia="zh-CN" w:bidi="ar-SA"/>
        </w:rPr>
        <w:t>2．</w:t>
      </w:r>
      <w:r>
        <w:rPr>
          <w:rFonts w:ascii="Times New Roman" w:hAnsi="Times New Roman" w:cs="Times New Roman" w:hint="default"/>
          <w:snapToGrid w:val="0"/>
          <w:color w:val="000000"/>
          <w:spacing w:val="0"/>
          <w:w w:val="100"/>
          <w:kern w:val="0"/>
          <w:position w:val="0"/>
          <w:szCs w:val="21"/>
        </w:rPr>
        <w:t>具有扎实的自然科学知识及建筑与土木、工程管理、信息技术等方面专业基础知识和基本技能，技能一定的项目管理的实践经验，能胜任建筑产业全链条活动的规划、设计、施工、运维、管理的智能建设工作，解决智能建造领域所涉及的复杂工程问题，具备注册工程师基本职业素养。</w:t>
      </w:r>
    </w:p>
    <w:p>
      <w:pPr>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left="0" w:right="74" w:firstLine="400" w:leftChars="0" w:rightChars="0" w:firstLineChars="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eastAsia="宋体" w:hAnsi="Times New Roman" w:cs="Times New Roman" w:hint="default"/>
          <w:snapToGrid w:val="0"/>
          <w:color w:val="000000"/>
          <w:spacing w:val="0"/>
          <w:w w:val="100"/>
          <w:kern w:val="0"/>
          <w:position w:val="0"/>
          <w:sz w:val="21"/>
          <w:szCs w:val="21"/>
          <w:lang w:val="en-US" w:eastAsia="zh-CN" w:bidi="ar-SA"/>
        </w:rPr>
        <w:t>3．</w:t>
      </w:r>
      <w:r>
        <w:rPr>
          <w:rFonts w:ascii="Times New Roman" w:hAnsi="Times New Roman" w:cs="Times New Roman" w:hint="default"/>
          <w:snapToGrid w:val="0"/>
          <w:color w:val="000000"/>
          <w:spacing w:val="0"/>
          <w:w w:val="100"/>
          <w:kern w:val="0"/>
          <w:position w:val="0"/>
          <w:szCs w:val="21"/>
        </w:rPr>
        <w:t>具有自主和终身学习能力，能够通过继续深造或随行业和职业发展终身持续学习，成为追求卓越的行业精英。</w:t>
      </w:r>
    </w:p>
    <w:p>
      <w:pPr>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left="0" w:right="74" w:firstLine="400" w:leftChars="0" w:rightChars="0" w:firstLineChars="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eastAsia="宋体" w:hAnsi="Times New Roman" w:cs="Times New Roman" w:hint="default"/>
          <w:snapToGrid w:val="0"/>
          <w:color w:val="000000"/>
          <w:spacing w:val="0"/>
          <w:w w:val="100"/>
          <w:kern w:val="0"/>
          <w:position w:val="0"/>
          <w:sz w:val="21"/>
          <w:szCs w:val="21"/>
          <w:lang w:val="en-US" w:eastAsia="zh-CN" w:bidi="ar-SA"/>
        </w:rPr>
        <w:t>4．</w:t>
      </w:r>
      <w:r>
        <w:rPr>
          <w:rFonts w:ascii="Times New Roman" w:hAnsi="Times New Roman" w:cs="Times New Roman" w:hint="default"/>
          <w:snapToGrid w:val="0"/>
          <w:color w:val="000000"/>
          <w:spacing w:val="0"/>
          <w:w w:val="100"/>
          <w:kern w:val="0"/>
          <w:position w:val="0"/>
          <w:szCs w:val="21"/>
        </w:rPr>
        <w:t>具有专业的系统思维和创新能力，具备较强的批判思维能力和求真创新素养，能在多学科背景下的团队合作中，胜任团队骨干成员或领导角色，具有一定的国际视野，具有高度的社会责任感，考虑社会、法律、环境等多种非技术因素的工程能力。</w:t>
      </w:r>
    </w:p>
    <w:p>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ascii="Times New Roman" w:hAnsi="Times New Roman" w:cs="Times New Roman" w:hint="default"/>
          <w:b/>
          <w:spacing w:val="0"/>
          <w:w w:val="100"/>
          <w:kern w:val="0"/>
          <w:position w:val="0"/>
          <w:sz w:val="24"/>
        </w:rPr>
      </w:pPr>
      <w:r>
        <w:rPr>
          <w:rFonts w:ascii="Times New Roman" w:hAnsi="Times New Roman" w:cs="Times New Roman" w:hint="default"/>
          <w:b/>
          <w:spacing w:val="0"/>
          <w:w w:val="100"/>
          <w:kern w:val="0"/>
          <w:position w:val="0"/>
          <w:sz w:val="24"/>
        </w:rPr>
        <w:t>二、毕业要求</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snapToGrid w:val="0"/>
          <w:color w:val="000000"/>
          <w:spacing w:val="0"/>
          <w:w w:val="100"/>
          <w:kern w:val="0"/>
          <w:position w:val="0"/>
          <w:szCs w:val="21"/>
        </w:rPr>
        <w:t>本专业毕业生完成规定课程的学习和实践训练，应获得以下几方面的知识、能力和素质。</w:t>
      </w:r>
      <w:r>
        <w:br/>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1：工程知识</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具有数学、自然科学、智能建造专业基础和专业知识，并能用于解决工程的复杂工程问题。</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1.1：</w:t>
      </w:r>
      <w:r>
        <w:rPr>
          <w:rFonts w:ascii="Times New Roman" w:hAnsi="Times New Roman" w:cs="Times New Roman" w:hint="default"/>
          <w:snapToGrid w:val="0"/>
          <w:color w:val="000000"/>
          <w:spacing w:val="0"/>
          <w:w w:val="100"/>
          <w:kern w:val="0"/>
          <w:position w:val="0"/>
          <w:szCs w:val="21"/>
        </w:rPr>
        <w:t>掌握数学、自然科学和智能建造专业的语言工具，并能够将其用于工程问题的表达。</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1.2：</w:t>
      </w:r>
      <w:r>
        <w:rPr>
          <w:rFonts w:ascii="Times New Roman" w:hAnsi="Times New Roman" w:cs="Times New Roman" w:hint="default"/>
          <w:snapToGrid w:val="0"/>
          <w:color w:val="000000"/>
          <w:spacing w:val="0"/>
          <w:w w:val="100"/>
          <w:kern w:val="0"/>
          <w:position w:val="0"/>
          <w:szCs w:val="21"/>
        </w:rPr>
        <w:t>掌握智能建造专业必须的工程基础知识，能够针对具体的对象建立模型并求解。</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1.3：</w:t>
      </w:r>
      <w:r>
        <w:rPr>
          <w:rFonts w:ascii="Times New Roman" w:hAnsi="Times New Roman" w:cs="Times New Roman" w:hint="default"/>
          <w:snapToGrid w:val="0"/>
          <w:color w:val="000000"/>
          <w:spacing w:val="0"/>
          <w:w w:val="100"/>
          <w:kern w:val="0"/>
          <w:position w:val="0"/>
          <w:szCs w:val="21"/>
        </w:rPr>
        <w:t>掌握智能建造专业的专业基础和专业知识，能够用于解决智能建造专业中的复杂工程问题。</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1.4：</w:t>
      </w:r>
      <w:r>
        <w:rPr>
          <w:rFonts w:ascii="Times New Roman" w:hAnsi="Times New Roman" w:cs="Times New Roman" w:hint="default"/>
          <w:snapToGrid w:val="0"/>
          <w:color w:val="000000"/>
          <w:spacing w:val="0"/>
          <w:w w:val="100"/>
          <w:kern w:val="0"/>
          <w:position w:val="0"/>
          <w:szCs w:val="21"/>
        </w:rPr>
        <w:t>能够将相关基础及专业知识用于智能建造专业复杂工程问题解决方案的比较与综合。</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2：问题分析</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问题分析</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2.1：</w:t>
      </w:r>
      <w:r>
        <w:rPr>
          <w:rFonts w:ascii="Times New Roman" w:hAnsi="Times New Roman" w:cs="Times New Roman" w:hint="default"/>
          <w:snapToGrid w:val="0"/>
          <w:color w:val="000000"/>
          <w:spacing w:val="0"/>
          <w:w w:val="100"/>
          <w:kern w:val="0"/>
          <w:position w:val="0"/>
          <w:szCs w:val="21"/>
        </w:rPr>
        <w:t>能应用相关科学原理，对智能建造专业复杂工程问题的关键环节进行识别和判断，并能有效分解。</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2.2：</w:t>
      </w:r>
      <w:r>
        <w:rPr>
          <w:rFonts w:ascii="Times New Roman" w:hAnsi="Times New Roman" w:cs="Times New Roman" w:hint="default"/>
          <w:snapToGrid w:val="0"/>
          <w:color w:val="000000"/>
          <w:spacing w:val="0"/>
          <w:w w:val="100"/>
          <w:kern w:val="0"/>
          <w:position w:val="0"/>
          <w:szCs w:val="21"/>
        </w:rPr>
        <w:t>能应用相关科学原理和数学模型方法，对智能建造专业相关的复杂工程问题进行正确表达。</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2.3：</w:t>
      </w:r>
      <w:r>
        <w:rPr>
          <w:rFonts w:ascii="Times New Roman" w:hAnsi="Times New Roman" w:cs="Times New Roman" w:hint="default"/>
          <w:snapToGrid w:val="0"/>
          <w:color w:val="000000"/>
          <w:spacing w:val="0"/>
          <w:w w:val="100"/>
          <w:kern w:val="0"/>
          <w:position w:val="0"/>
          <w:szCs w:val="21"/>
        </w:rPr>
        <w:t>能认识到解决问题有多种方案，能应用专业基本原理，分析复杂工程问题及其影响因素，并基于文献研究，寻求合理的解决方案，并获得有效结论。</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3：设计（开发）解决方案</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设计（开发）解决方案</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3.1：</w:t>
      </w:r>
      <w:r>
        <w:rPr>
          <w:rFonts w:ascii="Times New Roman" w:hAnsi="Times New Roman" w:cs="Times New Roman" w:hint="default"/>
          <w:snapToGrid w:val="0"/>
          <w:color w:val="000000"/>
          <w:spacing w:val="0"/>
          <w:w w:val="100"/>
          <w:kern w:val="0"/>
          <w:position w:val="0"/>
          <w:szCs w:val="21"/>
        </w:rPr>
        <w:t>能够综合考虑社会、健康、安全、法律、文化以及环境因素，具备智能建造专业全周期、全流程的工程设计、管理基本能力。</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3.2：</w:t>
      </w:r>
      <w:r>
        <w:rPr>
          <w:rFonts w:ascii="Times New Roman" w:hAnsi="Times New Roman" w:cs="Times New Roman" w:hint="default"/>
          <w:snapToGrid w:val="0"/>
          <w:color w:val="000000"/>
          <w:spacing w:val="0"/>
          <w:w w:val="100"/>
          <w:kern w:val="0"/>
          <w:position w:val="0"/>
          <w:szCs w:val="21"/>
        </w:rPr>
        <w:t>能够综合考虑各种因素，设计满足特定需求的结构体系或管理系统。具备运用技术信息的工具与手段发现、研究、分析、解决建设工程产品生产、使用过程相关问题的初步能力。</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3.3：</w:t>
      </w:r>
      <w:r>
        <w:rPr>
          <w:rFonts w:ascii="Times New Roman" w:hAnsi="Times New Roman" w:cs="Times New Roman" w:hint="default"/>
          <w:snapToGrid w:val="0"/>
          <w:color w:val="000000"/>
          <w:spacing w:val="0"/>
          <w:w w:val="100"/>
          <w:kern w:val="0"/>
          <w:position w:val="0"/>
          <w:szCs w:val="21"/>
        </w:rPr>
        <w:t>能够运用交叉学科专业知识，创造出超越本专业的知识或产品的能力，具有创新迭代思维，能够从独特的视角发现新问题，提出新颖的解决思路，运用新技术和方法实现创新性的成果。</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4：研究</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研究</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4.1：</w:t>
      </w:r>
      <w:r>
        <w:rPr>
          <w:rFonts w:ascii="Times New Roman" w:hAnsi="Times New Roman" w:cs="Times New Roman" w:hint="default"/>
          <w:snapToGrid w:val="0"/>
          <w:color w:val="000000"/>
          <w:spacing w:val="0"/>
          <w:w w:val="100"/>
          <w:kern w:val="0"/>
          <w:position w:val="0"/>
          <w:szCs w:val="21"/>
        </w:rPr>
        <w:t>能够基于科学原理，通过文献研究，调研和分析解决复杂工程管理问题的方案，选择研究路线。</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4.2：</w:t>
      </w:r>
      <w:r>
        <w:rPr>
          <w:rFonts w:ascii="Times New Roman" w:hAnsi="Times New Roman" w:cs="Times New Roman" w:hint="default"/>
          <w:snapToGrid w:val="0"/>
          <w:color w:val="000000"/>
          <w:spacing w:val="0"/>
          <w:w w:val="100"/>
          <w:kern w:val="0"/>
          <w:position w:val="0"/>
          <w:szCs w:val="21"/>
        </w:rPr>
        <w:t>具备融合型能力结构，能有效运用所学知识、技能、技术、方法、工具发现、分析、研究、解决建设工程实施过程中各类问题的专业能力、综合能力和初步的技术创新能力、管理创新能力组成。</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4.3：</w:t>
      </w:r>
      <w:r>
        <w:rPr>
          <w:rFonts w:ascii="Times New Roman" w:hAnsi="Times New Roman" w:cs="Times New Roman" w:hint="default"/>
          <w:snapToGrid w:val="0"/>
          <w:color w:val="000000"/>
          <w:spacing w:val="0"/>
          <w:w w:val="100"/>
          <w:kern w:val="0"/>
          <w:position w:val="0"/>
          <w:szCs w:val="21"/>
        </w:rPr>
        <w:t>通过深入思考，能够提出和形成新的、有价值主张的思维。尤其建筑领域中，能够针对复杂工程问题，开发、选择与使用恰当的技术、资源、现代工程工具和信息技术工具，创造和革新产业。</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5：使用现代工具</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使用现代工具</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5.1：</w:t>
      </w:r>
      <w:r>
        <w:rPr>
          <w:rFonts w:ascii="Times New Roman" w:hAnsi="Times New Roman" w:cs="Times New Roman" w:hint="default"/>
          <w:snapToGrid w:val="0"/>
          <w:color w:val="000000"/>
          <w:spacing w:val="0"/>
          <w:w w:val="100"/>
          <w:kern w:val="0"/>
          <w:position w:val="0"/>
          <w:szCs w:val="21"/>
        </w:rPr>
        <w:t>了解智能建造专业常用的现代仪器、信息技术工具和模拟软件的使用原理和方法，并了解其局限性。</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5.2：</w:t>
      </w:r>
      <w:r>
        <w:rPr>
          <w:rFonts w:ascii="Times New Roman" w:hAnsi="Times New Roman" w:cs="Times New Roman" w:hint="default"/>
          <w:snapToGrid w:val="0"/>
          <w:color w:val="000000"/>
          <w:spacing w:val="0"/>
          <w:w w:val="100"/>
          <w:kern w:val="0"/>
          <w:position w:val="0"/>
          <w:szCs w:val="21"/>
        </w:rPr>
        <w:t>能够应用模拟软件进行复杂工程问题的分析、预测和模拟，并判断分析结果的合理性和局限性。</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5.3：</w:t>
      </w:r>
      <w:r>
        <w:rPr>
          <w:rFonts w:ascii="Times New Roman" w:hAnsi="Times New Roman" w:cs="Times New Roman" w:hint="default"/>
          <w:snapToGrid w:val="0"/>
          <w:color w:val="000000"/>
          <w:spacing w:val="0"/>
          <w:w w:val="100"/>
          <w:kern w:val="0"/>
          <w:position w:val="0"/>
          <w:szCs w:val="21"/>
        </w:rPr>
        <w:t>能够开发或应用现代信息技术，解决智能建造专业相关的复杂信息技术工程问题的基本能力。</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6：工程与可持续发展</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工程与可持续发展</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6.1：</w:t>
      </w:r>
      <w:r>
        <w:rPr>
          <w:rFonts w:ascii="Times New Roman" w:hAnsi="Times New Roman" w:cs="Times New Roman" w:hint="default"/>
          <w:snapToGrid w:val="0"/>
          <w:color w:val="000000"/>
          <w:spacing w:val="0"/>
          <w:w w:val="100"/>
          <w:kern w:val="0"/>
          <w:position w:val="0"/>
          <w:szCs w:val="21"/>
        </w:rPr>
        <w:t>熟悉哲学、政治学、社会学、心理学、历史学、文学、艺术学、军事学、体育学等方面的基本知识。熟悉自然科学、工程（技术）科学、社会科学研究方法的基础知识。</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6.2：</w:t>
      </w:r>
      <w:r>
        <w:rPr>
          <w:rFonts w:ascii="Times New Roman" w:hAnsi="Times New Roman" w:cs="Times New Roman" w:hint="default"/>
          <w:snapToGrid w:val="0"/>
          <w:color w:val="000000"/>
          <w:spacing w:val="0"/>
          <w:w w:val="100"/>
          <w:kern w:val="0"/>
          <w:position w:val="0"/>
          <w:szCs w:val="21"/>
        </w:rPr>
        <w:t>熟悉专业相关领域的技术标准体系、知识产权、产业政策和法律法规，理解不同文化对工程活动的影响。</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6.3：</w:t>
      </w:r>
      <w:r>
        <w:rPr>
          <w:rFonts w:ascii="Times New Roman" w:hAnsi="Times New Roman" w:cs="Times New Roman" w:hint="default"/>
          <w:snapToGrid w:val="0"/>
          <w:color w:val="000000"/>
          <w:spacing w:val="0"/>
          <w:w w:val="100"/>
          <w:kern w:val="0"/>
          <w:position w:val="0"/>
          <w:szCs w:val="21"/>
        </w:rPr>
        <w:t>能够分析和评价工程实践和复杂工程问题实施方案对社会、健康、安全、法律、文化的影响，并理解应承担的责任。</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6.4：</w:t>
      </w:r>
      <w:r>
        <w:rPr>
          <w:rFonts w:ascii="Times New Roman" w:hAnsi="Times New Roman" w:cs="Times New Roman" w:hint="default"/>
          <w:snapToGrid w:val="0"/>
          <w:color w:val="000000"/>
          <w:spacing w:val="0"/>
          <w:w w:val="100"/>
          <w:kern w:val="0"/>
          <w:position w:val="0"/>
          <w:szCs w:val="21"/>
        </w:rPr>
        <w:t>理解环境保护和可持续发展的理念和内涵；能够站在环境保护和可持续发展的角度思考工程实践的可持续性，基于全过程周期管理评价工程项目对人类和环境造成的损害和隐患。</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7：工程伦理和职业规范</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工程伦理和职业规范</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7.1：</w:t>
      </w:r>
      <w:r>
        <w:rPr>
          <w:rFonts w:ascii="Times New Roman" w:hAnsi="Times New Roman" w:cs="Times New Roman" w:hint="default"/>
          <w:snapToGrid w:val="0"/>
          <w:color w:val="000000"/>
          <w:spacing w:val="0"/>
          <w:w w:val="100"/>
          <w:kern w:val="0"/>
          <w:position w:val="0"/>
          <w:szCs w:val="21"/>
        </w:rPr>
        <w:t>有正确的价值观、世界观和人生观，理解个人与社会的关系，了解中国国情。</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7.2：</w:t>
      </w:r>
      <w:r>
        <w:rPr>
          <w:rFonts w:ascii="Times New Roman" w:hAnsi="Times New Roman" w:cs="Times New Roman" w:hint="default"/>
          <w:snapToGrid w:val="0"/>
          <w:color w:val="000000"/>
          <w:spacing w:val="0"/>
          <w:w w:val="100"/>
          <w:kern w:val="0"/>
          <w:position w:val="0"/>
          <w:szCs w:val="21"/>
        </w:rPr>
        <w:t>理解并遵守诚实公正、诚信守则的工程职业道德和规范，并能在工程实践中自觉遵守。</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7.3：</w:t>
      </w:r>
      <w:r>
        <w:rPr>
          <w:rFonts w:ascii="Times New Roman" w:hAnsi="Times New Roman" w:cs="Times New Roman" w:hint="default"/>
          <w:snapToGrid w:val="0"/>
          <w:color w:val="000000"/>
          <w:spacing w:val="0"/>
          <w:w w:val="100"/>
          <w:kern w:val="0"/>
          <w:position w:val="0"/>
          <w:szCs w:val="21"/>
        </w:rPr>
        <w:t>理解工程师对公众的安全、健康和福祉，以及环境保护的社会责任，能够在工程实践中自觉履行责任。</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7.4：</w:t>
      </w:r>
      <w:r>
        <w:rPr>
          <w:rFonts w:ascii="Times New Roman" w:hAnsi="Times New Roman" w:cs="Times New Roman" w:hint="default"/>
          <w:snapToGrid w:val="0"/>
          <w:color w:val="000000"/>
          <w:spacing w:val="0"/>
          <w:w w:val="100"/>
          <w:kern w:val="0"/>
          <w:position w:val="0"/>
          <w:szCs w:val="21"/>
        </w:rPr>
        <w:t>具有良好的职业道德、专业伦理观和现代信息社会的价值观念；具有系统工程意识和综合分析素养，能够从系统角度分析智能建造中各种活动的不足和缺陷；具有预防和处理与智能建造相关的重难点和关键问题的能力。</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8：个人和团队</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个人和团队</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8.1：</w:t>
      </w:r>
      <w:r>
        <w:rPr>
          <w:rFonts w:ascii="Times New Roman" w:hAnsi="Times New Roman" w:cs="Times New Roman" w:hint="default"/>
          <w:snapToGrid w:val="0"/>
          <w:color w:val="000000"/>
          <w:spacing w:val="0"/>
          <w:w w:val="100"/>
          <w:kern w:val="0"/>
          <w:position w:val="0"/>
          <w:szCs w:val="21"/>
        </w:rPr>
        <w:t>能够独立承担专项任务，并能在团队中承担成员或领导角色，具有良好的合作意识和协作精神，能够参与、组织和协调团队开展工作。</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8.2：</w:t>
      </w:r>
      <w:r>
        <w:rPr>
          <w:rFonts w:ascii="Times New Roman" w:hAnsi="Times New Roman" w:cs="Times New Roman" w:hint="default"/>
          <w:snapToGrid w:val="0"/>
          <w:color w:val="000000"/>
          <w:spacing w:val="0"/>
          <w:w w:val="100"/>
          <w:kern w:val="0"/>
          <w:position w:val="0"/>
          <w:szCs w:val="21"/>
        </w:rPr>
        <w:t>具有国际视野，具备跨文化思考、交流、竞争与合作的基本能力。</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9：沟通能力</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沟通能力</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9.1：</w:t>
      </w:r>
      <w:r>
        <w:rPr>
          <w:rFonts w:ascii="Times New Roman" w:hAnsi="Times New Roman" w:cs="Times New Roman" w:hint="default"/>
          <w:snapToGrid w:val="0"/>
          <w:color w:val="000000"/>
          <w:spacing w:val="0"/>
          <w:w w:val="100"/>
          <w:kern w:val="0"/>
          <w:position w:val="0"/>
          <w:szCs w:val="21"/>
        </w:rPr>
        <w:t>具备较强的语言与文字表达和人际沟通能力，具备良好的领导、团队组织与协作能力，具备终身学习的基本能力，具备良好的职业适应能力、职业发展能力、社会适应能力。</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9.2：</w:t>
      </w:r>
      <w:r>
        <w:rPr>
          <w:rFonts w:ascii="Times New Roman" w:hAnsi="Times New Roman" w:cs="Times New Roman" w:hint="default"/>
          <w:snapToGrid w:val="0"/>
          <w:color w:val="000000"/>
          <w:spacing w:val="0"/>
          <w:w w:val="100"/>
          <w:kern w:val="0"/>
          <w:position w:val="0"/>
          <w:szCs w:val="21"/>
        </w:rPr>
        <w:t>能够在多学科背景的团队中承担个体、队员和负责人的角色，能就复杂工程问题与同行和社会公众进行有效的沟通和交流，并具备一定的国际视野，在跨文化背景下进行沟通和交流。</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9.3：</w:t>
      </w:r>
      <w:r>
        <w:rPr>
          <w:rFonts w:ascii="Times New Roman" w:hAnsi="Times New Roman" w:cs="Times New Roman" w:hint="default"/>
          <w:snapToGrid w:val="0"/>
          <w:color w:val="000000"/>
          <w:spacing w:val="0"/>
          <w:w w:val="100"/>
          <w:kern w:val="0"/>
          <w:position w:val="0"/>
          <w:szCs w:val="21"/>
        </w:rPr>
        <w:t>具备跨文化交流的语言和书面表达能力，能就专业问题，在跨文化背景下进行沟通和交流。</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10：项目管理</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项目管理</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10.1：</w:t>
      </w:r>
      <w:r>
        <w:rPr>
          <w:rFonts w:ascii="Times New Roman" w:hAnsi="Times New Roman" w:cs="Times New Roman" w:hint="default"/>
          <w:snapToGrid w:val="0"/>
          <w:color w:val="000000"/>
          <w:spacing w:val="0"/>
          <w:w w:val="100"/>
          <w:kern w:val="0"/>
          <w:position w:val="0"/>
          <w:szCs w:val="21"/>
        </w:rPr>
        <w:t>在多学科环境中，掌握并应用工程管理原理与经济决策方法。</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10.2：</w:t>
      </w:r>
      <w:r>
        <w:rPr>
          <w:rFonts w:ascii="Times New Roman" w:hAnsi="Times New Roman" w:cs="Times New Roman" w:hint="default"/>
          <w:snapToGrid w:val="0"/>
          <w:color w:val="000000"/>
          <w:spacing w:val="0"/>
          <w:w w:val="100"/>
          <w:kern w:val="0"/>
          <w:position w:val="0"/>
          <w:szCs w:val="21"/>
        </w:rPr>
        <w:t>掌握土木工程项目中涉及的管理与经济决策方法。</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10.3：</w:t>
      </w:r>
      <w:r>
        <w:rPr>
          <w:rFonts w:ascii="Times New Roman" w:hAnsi="Times New Roman" w:cs="Times New Roman" w:hint="default"/>
          <w:snapToGrid w:val="0"/>
          <w:color w:val="000000"/>
          <w:spacing w:val="0"/>
          <w:w w:val="100"/>
          <w:kern w:val="0"/>
          <w:position w:val="0"/>
          <w:szCs w:val="21"/>
        </w:rPr>
        <w:t>在掌握传统建筑土木类的专业知识基础上，会将跨专业知识融合进本行业，并有初步判断和分析、且会自主进行知识拓展的能力。</w:t>
      </w:r>
    </w:p>
    <w:p>
      <w:pPr>
        <w:keepNext w:val="0"/>
        <w:keepLines w:val="0"/>
        <w:pageBreakBefore w:val="0"/>
        <w:wordWrap/>
        <w:overflowPunct/>
        <w:topLinePunct w:val="0"/>
        <w:bidi w:val="0"/>
        <w:snapToGrid/>
        <w:spacing w:line="360" w:lineRule="auto"/>
        <w:ind w:firstLine="420"/>
        <w:rPr>
          <w:rFonts w:ascii="Times New Roman" w:hAnsi="Times New Roman" w:cs="Times New Roman" w:hint="default"/>
          <w:b/>
          <w:spacing w:val="0"/>
          <w:w w:val="100"/>
          <w:kern w:val="0"/>
          <w:position w:val="0"/>
        </w:rPr>
      </w:pPr>
      <w:r>
        <w:rPr>
          <w:rFonts w:ascii="Times New Roman" w:hAnsi="Times New Roman" w:cs="Times New Roman" w:hint="default"/>
          <w:b/>
          <w:spacing w:val="0"/>
          <w:w w:val="100"/>
          <w:kern w:val="0"/>
          <w:position w:val="0"/>
        </w:rPr>
        <w:t>毕业要求 11：终身学习</w:t>
      </w:r>
      <w:r>
        <w:rPr>
          <w:rFonts w:ascii="Times New Roman" w:hAnsi="Times New Roman" w:cs="Times New Roman" w:hint="default"/>
          <w:b/>
          <w:spacing w:val="0"/>
          <w:w w:val="100"/>
          <w:kern w:val="0"/>
          <w:position w:val="0"/>
          <w:lang w:eastAsia="zh-CN"/>
        </w:rPr>
        <w:t>—</w:t>
      </w:r>
      <w:r>
        <w:rPr>
          <w:rFonts w:ascii="Times New Roman" w:hAnsi="Times New Roman" w:cs="Times New Roman" w:hint="default"/>
          <w:b/>
          <w:spacing w:val="0"/>
          <w:w w:val="100"/>
          <w:kern w:val="0"/>
          <w:position w:val="0"/>
        </w:rPr>
        <w:t>终身学习</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11.1：</w:t>
      </w:r>
      <w:r>
        <w:rPr>
          <w:rFonts w:ascii="Times New Roman" w:hAnsi="Times New Roman" w:cs="Times New Roman" w:hint="default"/>
          <w:snapToGrid w:val="0"/>
          <w:color w:val="000000"/>
          <w:spacing w:val="0"/>
          <w:w w:val="100"/>
          <w:kern w:val="0"/>
          <w:position w:val="0"/>
          <w:szCs w:val="21"/>
        </w:rPr>
        <w:t>能正确认识自主学习和终身学习的重要性，具有了解和追踪专业发展趋势的能力。</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11.2：</w:t>
      </w:r>
      <w:r>
        <w:rPr>
          <w:rFonts w:ascii="Times New Roman" w:hAnsi="Times New Roman" w:cs="Times New Roman" w:hint="default"/>
          <w:snapToGrid w:val="0"/>
          <w:color w:val="000000"/>
          <w:spacing w:val="0"/>
          <w:w w:val="100"/>
          <w:kern w:val="0"/>
          <w:position w:val="0"/>
          <w:szCs w:val="21"/>
        </w:rPr>
        <w:t>具有自主学习的能力，能适应社会与行业发展需求。</w:t>
      </w:r>
    </w:p>
    <w:p>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rPr>
      </w:pPr>
      <w:r>
        <w:rPr>
          <w:rFonts w:ascii="Times New Roman" w:hAnsi="Times New Roman" w:cs="Times New Roman" w:hint="default"/>
          <w:b/>
          <w:snapToGrid w:val="0"/>
          <w:color w:val="000000"/>
          <w:spacing w:val="0"/>
          <w:w w:val="100"/>
          <w:kern w:val="0"/>
          <w:position w:val="0"/>
          <w:sz w:val="21"/>
          <w:szCs w:val="21"/>
          <w:lang w:eastAsia="zh-CN"/>
        </w:rPr>
        <w:t>内涵观测点 11.3：</w:t>
      </w:r>
      <w:r>
        <w:rPr>
          <w:rFonts w:ascii="Times New Roman" w:hAnsi="Times New Roman" w:cs="Times New Roman" w:hint="default"/>
          <w:snapToGrid w:val="0"/>
          <w:color w:val="000000"/>
          <w:spacing w:val="0"/>
          <w:w w:val="100"/>
          <w:kern w:val="0"/>
          <w:position w:val="0"/>
          <w:szCs w:val="21"/>
        </w:rPr>
        <w:t>具备较强的批判性思维能力与初步的技术创新和管理创新能力，能够在工作、学习和生活中发现、总结、提出新观点、新思路、新模式、新方案。</w:t>
      </w:r>
    </w:p>
    <w:p>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ascii="Times New Roman" w:hAnsi="Times New Roman" w:cs="Times New Roman" w:hint="default"/>
          <w:b/>
          <w:bCs w:val="0"/>
          <w:spacing w:val="0"/>
          <w:w w:val="100"/>
          <w:kern w:val="0"/>
          <w:position w:val="0"/>
          <w:sz w:val="24"/>
        </w:rPr>
      </w:pPr>
      <w:r>
        <w:rPr>
          <w:rFonts w:ascii="Times New Roman" w:hAnsi="Times New Roman" w:cs="Times New Roman" w:hint="default"/>
          <w:b/>
          <w:bCs w:val="0"/>
          <w:spacing w:val="0"/>
          <w:w w:val="100"/>
          <w:kern w:val="0"/>
          <w:position w:val="0"/>
          <w:sz w:val="24"/>
        </w:rPr>
        <w:t>三、毕业及学位要求</w:t>
      </w:r>
    </w:p>
    <w:p>
      <w:pPr>
        <w:widowControl/>
        <w:kinsoku w:val="0"/>
        <w:autoSpaceDE w:val="0"/>
        <w:autoSpaceDN w:val="0"/>
        <w:adjustRightInd w:val="0"/>
        <w:snapToGrid w:val="0"/>
        <w:spacing w:line="360" w:lineRule="auto"/>
        <w:ind w:right="74" w:firstLine="420"/>
        <w:jc w:val="left"/>
        <w:textAlignment w:val="baseline"/>
        <w:rPr>
          <w:rFonts w:ascii="Times New Roman" w:eastAsia="宋体" w:hAnsi="Times New Roman" w:cs="Times New Roman" w:hint="default"/>
          <w:snapToGrid w:val="0"/>
          <w:color w:val="000000"/>
          <w:spacing w:val="0"/>
          <w:w w:val="100"/>
          <w:kern w:val="0"/>
          <w:position w:val="0"/>
          <w:szCs w:val="21"/>
          <w:lang w:eastAsia="zh-CN"/>
        </w:rPr>
      </w:pPr>
      <w:r>
        <w:rPr>
          <w:rFonts w:ascii="Times New Roman" w:hAnsi="Times New Roman" w:cs="Times New Roman" w:hint="default"/>
          <w:snapToGrid w:val="0"/>
          <w:color w:val="000000"/>
          <w:spacing w:val="0"/>
          <w:w w:val="100"/>
          <w:kern w:val="0"/>
          <w:position w:val="0"/>
          <w:szCs w:val="21"/>
        </w:rPr>
        <w:t>学制：4年</w:t>
      </w:r>
      <w:r>
        <w:rPr>
          <w:rFonts w:ascii="Times New Roman" w:hAnsi="Times New Roman" w:cs="Times New Roman" w:hint="default"/>
          <w:snapToGrid w:val="0"/>
          <w:color w:val="000000"/>
          <w:spacing w:val="0"/>
          <w:w w:val="100"/>
          <w:kern w:val="0"/>
          <w:position w:val="0"/>
          <w:szCs w:val="21"/>
          <w:lang w:eastAsia="zh-CN"/>
        </w:rPr>
        <w:t>。</w:t>
      </w:r>
    </w:p>
    <w:p>
      <w:pPr>
        <w:widowControl/>
        <w:kinsoku w:val="0"/>
        <w:autoSpaceDE w:val="0"/>
        <w:autoSpaceDN w:val="0"/>
        <w:adjustRightInd w:val="0"/>
        <w:snapToGrid w:val="0"/>
        <w:spacing w:line="360" w:lineRule="auto"/>
        <w:ind w:right="74" w:firstLine="420"/>
        <w:jc w:val="left"/>
        <w:textAlignment w:val="baseline"/>
        <w:rPr>
          <w:rFonts w:ascii="Times New Roman" w:eastAsia="宋体" w:hAnsi="Times New Roman" w:cs="Times New Roman" w:hint="default"/>
          <w:snapToGrid w:val="0"/>
          <w:color w:val="000000"/>
          <w:spacing w:val="0"/>
          <w:w w:val="100"/>
          <w:kern w:val="0"/>
          <w:position w:val="0"/>
          <w:szCs w:val="21"/>
          <w:lang w:eastAsia="zh-CN"/>
        </w:rPr>
      </w:pPr>
      <w:r>
        <w:rPr>
          <w:rFonts w:ascii="Times New Roman" w:hAnsi="Times New Roman" w:cs="Times New Roman" w:hint="default"/>
          <w:snapToGrid w:val="0"/>
          <w:color w:val="000000"/>
          <w:spacing w:val="0"/>
          <w:w w:val="100"/>
          <w:kern w:val="0"/>
          <w:position w:val="0"/>
          <w:szCs w:val="21"/>
        </w:rPr>
        <w:t>修业年限： 3~6年</w:t>
      </w:r>
      <w:r>
        <w:rPr>
          <w:rFonts w:ascii="Times New Roman" w:hAnsi="Times New Roman" w:cs="Times New Roman" w:hint="default"/>
          <w:snapToGrid w:val="0"/>
          <w:color w:val="000000"/>
          <w:spacing w:val="0"/>
          <w:w w:val="100"/>
          <w:kern w:val="0"/>
          <w:position w:val="0"/>
          <w:szCs w:val="21"/>
          <w:lang w:eastAsia="zh-CN"/>
        </w:rPr>
        <w:t>。</w:t>
      </w:r>
    </w:p>
    <w:p>
      <w:pPr>
        <w:widowControl/>
        <w:kinsoku w:val="0"/>
        <w:autoSpaceDE w:val="0"/>
        <w:autoSpaceDN w:val="0"/>
        <w:adjustRightInd w:val="0"/>
        <w:snapToGrid w:val="0"/>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Cs w:val="21"/>
          <w:lang w:eastAsia="zh-CN"/>
        </w:rPr>
      </w:pPr>
      <w:r>
        <w:rPr>
          <w:rFonts w:ascii="Times New Roman" w:hAnsi="Times New Roman" w:cs="Times New Roman" w:hint="default"/>
          <w:snapToGrid w:val="0"/>
          <w:color w:val="000000"/>
          <w:spacing w:val="0"/>
          <w:w w:val="100"/>
          <w:kern w:val="0"/>
          <w:position w:val="0"/>
          <w:szCs w:val="21"/>
        </w:rPr>
        <w:t>毕业学分要求：不少于179学分</w:t>
      </w:r>
      <w:r>
        <w:rPr>
          <w:rFonts w:ascii="Times New Roman" w:hAnsi="Times New Roman" w:cs="Times New Roman" w:hint="default"/>
          <w:snapToGrid w:val="0"/>
          <w:color w:val="000000"/>
          <w:spacing w:val="0"/>
          <w:w w:val="100"/>
          <w:kern w:val="0"/>
          <w:position w:val="0"/>
          <w:szCs w:val="21"/>
          <w:lang w:eastAsia="zh-CN"/>
        </w:rPr>
        <w:t>。</w:t>
      </w:r>
    </w:p>
    <w:p>
      <w:pPr>
        <w:widowControl/>
        <w:kinsoku w:val="0"/>
        <w:autoSpaceDE w:val="0"/>
        <w:autoSpaceDN w:val="0"/>
        <w:adjustRightInd w:val="0"/>
        <w:snapToGrid w:val="0"/>
        <w:spacing w:line="360" w:lineRule="auto"/>
        <w:ind w:right="74" w:firstLine="420"/>
        <w:jc w:val="left"/>
        <w:textAlignment w:val="baseline"/>
        <w:rPr>
          <w:rFonts w:ascii="Times New Roman" w:hAnsi="Times New Roman" w:cs="Times New Roman" w:hint="default"/>
          <w:snapToGrid w:val="0"/>
          <w:color w:val="000000"/>
          <w:spacing w:val="0"/>
          <w:w w:val="100"/>
          <w:kern w:val="4"/>
          <w:position w:val="0"/>
          <w:szCs w:val="21"/>
        </w:rPr>
      </w:pPr>
      <w:r>
        <w:rPr>
          <w:rFonts w:ascii="Times New Roman" w:hAnsi="Times New Roman" w:cs="Times New Roman" w:hint="default"/>
          <w:snapToGrid w:val="0"/>
          <w:color w:val="000000"/>
          <w:spacing w:val="0"/>
          <w:w w:val="100"/>
          <w:kern w:val="0"/>
          <w:position w:val="0"/>
          <w:szCs w:val="21"/>
        </w:rPr>
        <w:t>授予学位：符合国家学位规定和山东理工大学学士学位授予条件者，授</w:t>
      </w:r>
      <w:r>
        <w:rPr>
          <w:rFonts w:ascii="Times New Roman" w:hAnsi="Times New Roman" w:cs="Times New Roman" w:hint="default"/>
          <w:snapToGrid w:val="0"/>
          <w:color w:val="000000"/>
          <w:spacing w:val="0"/>
          <w:w w:val="100"/>
          <w:kern w:val="4"/>
          <w:position w:val="0"/>
          <w:szCs w:val="21"/>
        </w:rPr>
        <w:t>予学士学位。</w:t>
      </w:r>
    </w:p>
    <w:p>
      <w:pPr>
        <w:keepNext w:val="0"/>
        <w:keepLines w:val="0"/>
        <w:pageBreakBefore w:val="0"/>
        <w:widowControl w:val="0"/>
        <w:kinsoku/>
        <w:wordWrap/>
        <w:overflowPunct/>
        <w:topLinePunct w:val="0"/>
        <w:autoSpaceDE w:val="0"/>
        <w:autoSpaceDN w:val="0"/>
        <w:bidi w:val="0"/>
        <w:spacing w:before="159" w:beforeLines="50" w:after="159" w:afterLines="50" w:line="360" w:lineRule="auto"/>
        <w:textAlignment w:val="auto"/>
        <w:outlineLvl w:val="2"/>
        <w:rPr>
          <w:rFonts w:ascii="Times New Roman" w:hAnsi="Times New Roman" w:cs="Times New Roman" w:hint="default"/>
          <w:b/>
          <w:spacing w:val="0"/>
          <w:w w:val="100"/>
          <w:kern w:val="4"/>
          <w:position w:val="0"/>
          <w:sz w:val="24"/>
        </w:rPr>
      </w:pPr>
      <w:r>
        <w:rPr>
          <w:rFonts w:ascii="Times New Roman" w:hAnsi="Times New Roman" w:cs="Times New Roman" w:hint="default"/>
          <w:b/>
          <w:spacing w:val="0"/>
          <w:w w:val="100"/>
          <w:kern w:val="4"/>
          <w:position w:val="0"/>
          <w:sz w:val="24"/>
        </w:rPr>
        <w:t>四、课程设置</w:t>
      </w:r>
    </w:p>
    <w:p>
      <w:pPr>
        <w:spacing w:before="159" w:beforeLines="50" w:after="159" w:afterLines="50" w:line="360" w:lineRule="auto"/>
        <w:ind w:firstLine="420" w:firstLineChars="200"/>
        <w:rPr>
          <w:rFonts w:ascii="Times New Roman" w:hAnsi="Times New Roman" w:cs="Times New Roman" w:hint="default"/>
          <w:b/>
          <w:bCs/>
          <w:spacing w:val="0"/>
          <w:w w:val="100"/>
          <w:kern w:val="4"/>
          <w:position w:val="0"/>
        </w:rPr>
      </w:pPr>
      <w:r>
        <w:rPr>
          <w:rFonts w:ascii="Times New Roman" w:hAnsi="Times New Roman" w:cs="Times New Roman" w:hint="default"/>
          <w:b/>
          <w:bCs/>
          <w:spacing w:val="0"/>
          <w:w w:val="100"/>
          <w:kern w:val="4"/>
          <w:position w:val="0"/>
        </w:rPr>
        <w:t>(一) 主干学科</w:t>
      </w:r>
    </w:p>
    <w:p>
      <w:pPr>
        <w:widowControl/>
        <w:kinsoku w:val="0"/>
        <w:autoSpaceDE w:val="0"/>
        <w:autoSpaceDN w:val="0"/>
        <w:adjustRightInd w:val="0"/>
        <w:snapToGrid w:val="0"/>
        <w:spacing w:line="360" w:lineRule="auto"/>
        <w:ind w:right="74" w:firstLine="420"/>
        <w:jc w:val="left"/>
        <w:textAlignment w:val="baseline"/>
        <w:rPr>
          <w:rFonts w:ascii="Times New Roman" w:eastAsia="宋体" w:hAnsi="Times New Roman" w:cs="Times New Roman" w:hint="default"/>
          <w:snapToGrid w:val="0"/>
          <w:color w:val="000000"/>
          <w:spacing w:val="0"/>
          <w:w w:val="100"/>
          <w:kern w:val="4"/>
          <w:position w:val="0"/>
          <w:szCs w:val="21"/>
          <w:lang w:eastAsia="zh-CN"/>
        </w:rPr>
      </w:pPr>
      <w:r>
        <w:rPr>
          <w:rFonts w:ascii="Times New Roman" w:hAnsi="Times New Roman" w:cs="Times New Roman" w:hint="default"/>
          <w:snapToGrid w:val="0"/>
          <w:color w:val="000000"/>
          <w:spacing w:val="0"/>
          <w:w w:val="100"/>
          <w:kern w:val="4"/>
          <w:position w:val="0"/>
          <w:szCs w:val="21"/>
        </w:rPr>
        <w:t>土木工程、管理科学与工程、计算机科学与技术。</w:t>
      </w:r>
    </w:p>
    <w:p>
      <w:pPr>
        <w:spacing w:before="159" w:beforeLines="50" w:after="159" w:afterLines="50" w:line="360" w:lineRule="auto"/>
        <w:ind w:firstLine="420" w:firstLineChars="200"/>
        <w:rPr>
          <w:rFonts w:ascii="Times New Roman" w:hAnsi="Times New Roman" w:cs="Times New Roman" w:hint="default"/>
          <w:b/>
          <w:bCs/>
          <w:spacing w:val="0"/>
          <w:w w:val="100"/>
          <w:kern w:val="4"/>
          <w:position w:val="0"/>
        </w:rPr>
      </w:pPr>
      <w:r>
        <w:rPr>
          <w:rFonts w:ascii="Times New Roman" w:hAnsi="Times New Roman" w:cs="Times New Roman" w:hint="default"/>
          <w:b/>
          <w:bCs/>
          <w:spacing w:val="0"/>
          <w:w w:val="100"/>
          <w:kern w:val="4"/>
          <w:position w:val="0"/>
        </w:rPr>
        <w:t>(二) 核心课程及主要实践性教学环节</w:t>
      </w:r>
    </w:p>
    <w:p>
      <w:pPr>
        <w:spacing w:before="159" w:beforeLines="50" w:after="159" w:afterLines="50"/>
        <w:ind w:firstLine="420" w:firstLineChars="200"/>
        <w:rPr>
          <w:rFonts w:ascii="Times New Roman" w:hAnsi="Times New Roman" w:cs="Times New Roman" w:hint="default"/>
          <w:b/>
          <w:bCs/>
          <w:spacing w:val="0"/>
          <w:w w:val="100"/>
          <w:kern w:val="4"/>
          <w:position w:val="0"/>
        </w:rPr>
      </w:pPr>
      <w:r>
        <w:rPr>
          <w:rFonts w:ascii="Times New Roman" w:hAnsi="Times New Roman" w:cs="Times New Roman" w:hint="default"/>
          <w:b/>
          <w:bCs/>
          <w:spacing w:val="0"/>
          <w:w w:val="100"/>
          <w:kern w:val="4"/>
          <w:position w:val="0"/>
        </w:rPr>
        <w:t>1、核心课程</w:t>
      </w:r>
    </w:p>
    <w:p>
      <w:pPr>
        <w:widowControl/>
        <w:kinsoku w:val="0"/>
        <w:autoSpaceDE w:val="0"/>
        <w:autoSpaceDN w:val="0"/>
        <w:adjustRightInd w:val="0"/>
        <w:snapToGrid w:val="0"/>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 w:val="21"/>
          <w:szCs w:val="21"/>
        </w:rPr>
      </w:pPr>
      <w:r>
        <w:rPr>
          <w:rFonts w:ascii="Times New Roman" w:hAnsi="Times New Roman" w:cs="Times New Roman" w:hint="default"/>
          <w:snapToGrid w:val="0"/>
          <w:color w:val="000000"/>
          <w:spacing w:val="0"/>
          <w:w w:val="100"/>
          <w:kern w:val="0"/>
          <w:position w:val="0"/>
          <w:sz w:val="21"/>
          <w:szCs w:val="21"/>
        </w:rPr>
        <w:t>专业核心课程由建筑土木类基础课程、工程管理类基础课程、信息技术类基础课程和智慧应用类专业课程四部分组成。其中:</w:t>
      </w:r>
      <w:r>
        <w:br/>
      </w:r>
      <w:r>
        <w:t>建筑土木类基础课程:房屋建筑学、智能建筑材料、工程力学、结构力学、工程结构设计原理、土力学与基础工程、装配式混凝土结构设计</w:t>
      </w:r>
      <w:r>
        <w:br/>
      </w:r>
      <w:r>
        <w:t>工程管理类基础课程:运筹学、工程经济学与项目管理、工程估价、智能建造集成采购与合同管理、工程法规</w:t>
      </w:r>
      <w:r>
        <w:br/>
      </w:r>
      <w:r>
        <w:t>信息技术类基础课程:Python程序设计、建筑信息技术基础、 基于AIGC和Python的大数据分析、电工电子技术、自动控制原理、传感器与物联网</w:t>
      </w:r>
      <w:r>
        <w:br/>
      </w:r>
      <w:r>
        <w:t>智慧应用类专业课程:智能建造概论、智慧测绘、智能建造施工、建筑结构智能检测与加固、智能建造机械与装备、智慧交通工程、智能运维与管理</w:t>
      </w:r>
      <w:r>
        <w:br/>
      </w:r>
    </w:p>
    <w:p>
      <w:pPr>
        <w:spacing w:before="159" w:beforeLines="50" w:after="159" w:afterLines="50" w:line="360" w:lineRule="auto"/>
        <w:ind w:firstLine="420" w:firstLineChars="200"/>
        <w:rPr>
          <w:rFonts w:ascii="Times New Roman" w:hAnsi="Times New Roman" w:cs="Times New Roman" w:hint="default"/>
          <w:b/>
          <w:bCs/>
          <w:spacing w:val="0"/>
          <w:w w:val="100"/>
          <w:kern w:val="0"/>
          <w:position w:val="0"/>
          <w:sz w:val="21"/>
        </w:rPr>
      </w:pPr>
      <w:r>
        <w:rPr>
          <w:rFonts w:ascii="Times New Roman" w:hAnsi="Times New Roman" w:cs="Times New Roman" w:hint="default"/>
          <w:b/>
          <w:bCs/>
          <w:spacing w:val="0"/>
          <w:w w:val="100"/>
          <w:kern w:val="0"/>
          <w:position w:val="0"/>
          <w:sz w:val="21"/>
        </w:rPr>
        <w:t>2、主要实践性教学环节</w:t>
      </w:r>
    </w:p>
    <w:p>
      <w:pPr>
        <w:widowControl/>
        <w:kinsoku w:val="0"/>
        <w:autoSpaceDE w:val="0"/>
        <w:autoSpaceDN w:val="0"/>
        <w:adjustRightInd w:val="0"/>
        <w:snapToGrid w:val="0"/>
        <w:spacing w:line="360" w:lineRule="auto"/>
        <w:ind w:right="74" w:firstLine="420"/>
        <w:jc w:val="left"/>
        <w:textAlignment w:val="baseline"/>
        <w:rPr>
          <w:rFonts w:ascii="Times New Roman" w:hAnsi="Times New Roman" w:cs="Times New Roman" w:hint="default"/>
          <w:snapToGrid w:val="0"/>
          <w:color w:val="000000"/>
          <w:spacing w:val="0"/>
          <w:w w:val="100"/>
          <w:kern w:val="0"/>
          <w:position w:val="0"/>
          <w:sz w:val="21"/>
          <w:szCs w:val="21"/>
        </w:rPr>
      </w:pPr>
      <w:r>
        <w:rPr>
          <w:rFonts w:ascii="Times New Roman" w:hAnsi="Times New Roman" w:cs="Times New Roman" w:hint="default"/>
          <w:snapToGrid w:val="0"/>
          <w:color w:val="000000"/>
          <w:spacing w:val="0"/>
          <w:w w:val="100"/>
          <w:kern w:val="0"/>
          <w:position w:val="0"/>
          <w:sz w:val="21"/>
          <w:szCs w:val="21"/>
        </w:rPr>
        <w:t>主要专业课程实验(实训）包括:智能建筑材料、智能测绘、装配式混凝土结构设计、BIM虚拟设计与施工、BIM建模与应用、智能建造施工、BIM造价技术等。</w:t>
      </w:r>
      <w:r>
        <w:br/>
      </w:r>
      <w:r>
        <w:t>集中实践性教学环节包括：认识实习、生产实习、BIM虚拟设计与施工课程设计、智慧工地课程设计、智能测绘实习房、智能建造综合课程设计、工程估价课程设计、工程经济与项目管理课程设计、智能建造与运维课程设计、智能检测项目实践。</w:t>
      </w:r>
      <w:r>
        <w:br/>
      </w:r>
    </w:p>
    <w:p>
      <w:pPr>
        <w:spacing w:before="159" w:beforeLines="50" w:after="159" w:afterLines="50"/>
        <w:ind w:firstLine="420" w:firstLineChars="200"/>
        <w:rPr>
          <w:rFonts w:ascii="Times New Roman" w:hAnsi="Times New Roman" w:cs="Times New Roman" w:hint="default"/>
          <w:b/>
          <w:bCs/>
          <w:spacing w:val="0"/>
          <w:w w:val="100"/>
          <w:kern w:val="4"/>
          <w:position w:val="0"/>
        </w:rPr>
      </w:pPr>
      <w:r>
        <w:rPr>
          <w:rFonts w:ascii="Times New Roman" w:hAnsi="Times New Roman" w:cs="Times New Roman" w:hint="default"/>
          <w:b/>
          <w:bCs/>
          <w:spacing w:val="0"/>
          <w:w w:val="100"/>
          <w:kern w:val="4"/>
          <w:position w:val="0"/>
        </w:rPr>
        <w:t>(三) 课程学分安排</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663"/>
        <w:gridCol w:w="2181"/>
        <w:gridCol w:w="281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6"/>
          <w:jc w:val="center"/>
        </w:trPr>
        <w:tc>
          <w:tcPr>
            <w:tcW w:w="2663" w:type="dxa"/>
            <w:vAlign w:val="center"/>
          </w:tcPr>
          <w:p>
            <w:pPr>
              <w:keepNext w:val="0"/>
              <w:keepLines w:val="0"/>
              <w:suppressLineNumbers w:val="0"/>
              <w:autoSpaceDE w:val="0"/>
              <w:autoSpaceDN w:val="0"/>
              <w:spacing w:before="0" w:beforeAutospacing="0" w:after="0" w:afterAutospacing="0" w:line="300" w:lineRule="auto"/>
              <w:ind w:left="0" w:right="0"/>
              <w:jc w:val="center"/>
              <w:rPr>
                <w:rFonts w:asciiTheme="minorEastAsia" w:eastAsiaTheme="minorEastAsia" w:hAnsiTheme="minorEastAsia" w:cstheme="minorEastAsia" w:hint="eastAsia"/>
                <w:color w:val="auto"/>
                <w:sz w:val="21"/>
                <w:szCs w:val="21"/>
                <w:highlight w:val="none"/>
                <w:vertAlign w:val="baseline"/>
                <w:lang w:val="en-US" w:eastAsia="zh-CN"/>
              </w:rPr>
            </w:pPr>
            <w:r>
              <w:rPr>
                <w:rFonts w:asciiTheme="minorEastAsia" w:eastAsiaTheme="minorEastAsia" w:hAnsiTheme="minorEastAsia" w:cstheme="minorEastAsia" w:hint="eastAsia"/>
                <w:b/>
                <w:spacing w:val="0"/>
                <w:w w:val="100"/>
                <w:kern w:val="4"/>
                <w:position w:val="0"/>
                <w:sz w:val="21"/>
                <w:szCs w:val="21"/>
                <w:lang w:val="en-US" w:eastAsia="zh-CN"/>
              </w:rPr>
              <w:t>课程类别</w:t>
            </w:r>
          </w:p>
        </w:tc>
        <w:tc>
          <w:tcPr>
            <w:tcW w:w="2181"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kern w:val="0"/>
                <w:sz w:val="21"/>
                <w:szCs w:val="21"/>
                <w:highlight w:val="none"/>
                <w:lang w:val="en-US" w:eastAsia="zh-CN" w:bidi="ar"/>
              </w:rPr>
            </w:pPr>
            <w:r>
              <w:rPr>
                <w:rFonts w:asciiTheme="minorEastAsia" w:eastAsiaTheme="minorEastAsia" w:hAnsiTheme="minorEastAsia" w:cstheme="minorEastAsia" w:hint="eastAsia"/>
                <w:b/>
                <w:spacing w:val="0"/>
                <w:w w:val="100"/>
                <w:kern w:val="4"/>
                <w:position w:val="0"/>
                <w:sz w:val="21"/>
                <w:szCs w:val="21"/>
                <w:lang w:eastAsia="en-US"/>
              </w:rPr>
              <w:t>应修学分</w:t>
            </w:r>
          </w:p>
        </w:tc>
        <w:tc>
          <w:tcPr>
            <w:tcW w:w="2819"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sz w:val="21"/>
                <w:szCs w:val="21"/>
                <w:highlight w:val="none"/>
                <w:vertAlign w:val="baseline"/>
                <w:lang w:val="en-US" w:eastAsia="zh-CN"/>
              </w:rPr>
            </w:pPr>
            <w:r>
              <w:rPr>
                <w:rFonts w:asciiTheme="minorEastAsia" w:eastAsiaTheme="minorEastAsia" w:hAnsiTheme="minorEastAsia" w:cstheme="minorEastAsia" w:hint="eastAsia"/>
                <w:b/>
                <w:spacing w:val="0"/>
                <w:w w:val="100"/>
                <w:kern w:val="4"/>
                <w:position w:val="0"/>
                <w:sz w:val="21"/>
                <w:szCs w:val="21"/>
                <w:lang w:eastAsia="en-US"/>
              </w:rPr>
              <w:t>学分</w:t>
            </w:r>
            <w:r>
              <w:rPr>
                <w:rFonts w:asciiTheme="minorEastAsia" w:eastAsiaTheme="minorEastAsia" w:hAnsiTheme="minorEastAsia" w:cstheme="minorEastAsia" w:hint="eastAsia"/>
                <w:b/>
                <w:bCs/>
                <w:color w:val="auto"/>
                <w:kern w:val="0"/>
                <w:sz w:val="21"/>
                <w:szCs w:val="21"/>
                <w:highlight w:val="none"/>
                <w:lang w:val="en-US" w:eastAsia="zh-CN" w:bidi="ar"/>
              </w:rPr>
              <w:t>占比</w:t>
            </w:r>
          </w:p>
        </w:tc>
      </w:tr>
      <w:tr>
        <w:tblPrEx>
          <w:tblW w:w="0" w:type="auto"/>
          <w:jc w:val="center"/>
          <w:tblLayout w:type="fixed"/>
          <w:tblCellMar>
            <w:top w:w="0" w:type="dxa"/>
            <w:left w:w="108" w:type="dxa"/>
            <w:bottom w:w="0" w:type="dxa"/>
            <w:right w:w="108" w:type="dxa"/>
          </w:tblCellMar>
        </w:tblPrEx>
        <w:trPr>
          <w:jc w:val="center"/>
        </w:trPr>
        <w:tc>
          <w:tcPr>
            <w:tcW w:w="2663"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sz w:val="21"/>
                <w:szCs w:val="21"/>
                <w:highlight w:val="none"/>
                <w:vertAlign w:val="baseline"/>
                <w:lang w:val="en-US" w:eastAsia="zh-CN"/>
              </w:rPr>
            </w:pPr>
            <w:r>
              <w:rPr>
                <w:rFonts w:asciiTheme="minorEastAsia" w:eastAsiaTheme="minorEastAsia" w:hAnsiTheme="minorEastAsia" w:cstheme="minorEastAsia" w:hint="eastAsia"/>
                <w:color w:val="auto"/>
                <w:sz w:val="21"/>
                <w:szCs w:val="21"/>
                <w:highlight w:val="none"/>
                <w:vertAlign w:val="baseline"/>
                <w:lang w:val="en-US" w:eastAsia="zh-CN"/>
              </w:rPr>
              <w:t>通识教育课程模块</w:t>
            </w:r>
          </w:p>
        </w:tc>
        <w:tc>
          <w:tcPr>
            <w:tcW w:w="218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47</w:t>
            </w:r>
          </w:p>
        </w:tc>
        <w:tc>
          <w:tcPr>
            <w:tcW w:w="281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26.26</w:t>
            </w:r>
            <w:r>
              <w:rPr>
                <w:rFonts w:ascii="Times New Roman" w:eastAsia="仿宋" w:hAnsi="Times New Roman" w:cs="Times New Roman" w:hint="default"/>
                <w:color w:val="auto"/>
                <w:sz w:val="21"/>
                <w:szCs w:val="21"/>
                <w:highlight w:val="none"/>
                <w:vertAlign w:val="baseline"/>
                <w:lang w:val="en-US" w:eastAsia="zh-CN"/>
              </w:rPr>
              <w:t>%</w:t>
            </w:r>
          </w:p>
        </w:tc>
      </w:tr>
      <w:tr>
        <w:tblPrEx>
          <w:tblW w:w="0" w:type="auto"/>
          <w:jc w:val="center"/>
          <w:tblLayout w:type="fixed"/>
          <w:tblCellMar>
            <w:top w:w="0" w:type="dxa"/>
            <w:left w:w="108" w:type="dxa"/>
            <w:bottom w:w="0" w:type="dxa"/>
            <w:right w:w="108" w:type="dxa"/>
          </w:tblCellMar>
        </w:tblPrEx>
        <w:trPr>
          <w:jc w:val="center"/>
        </w:trPr>
        <w:tc>
          <w:tcPr>
            <w:tcW w:w="2663"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sz w:val="21"/>
                <w:szCs w:val="21"/>
                <w:highlight w:val="none"/>
                <w:vertAlign w:val="baseline"/>
                <w:lang w:val="en-US" w:eastAsia="zh-CN"/>
              </w:rPr>
            </w:pPr>
            <w:r>
              <w:rPr>
                <w:rFonts w:asciiTheme="minorEastAsia" w:eastAsiaTheme="minorEastAsia" w:hAnsiTheme="minorEastAsia" w:cstheme="minorEastAsia" w:hint="eastAsia"/>
                <w:color w:val="auto"/>
                <w:sz w:val="21"/>
                <w:szCs w:val="21"/>
                <w:highlight w:val="none"/>
                <w:vertAlign w:val="baseline"/>
                <w:lang w:val="en-US" w:eastAsia="zh-CN"/>
              </w:rPr>
              <w:t>学科基础课程</w:t>
            </w:r>
          </w:p>
        </w:tc>
        <w:tc>
          <w:tcPr>
            <w:tcW w:w="218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46.5</w:t>
            </w:r>
          </w:p>
        </w:tc>
        <w:tc>
          <w:tcPr>
            <w:tcW w:w="281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25.98</w:t>
            </w:r>
            <w:r>
              <w:rPr>
                <w:rFonts w:ascii="Times New Roman" w:eastAsia="仿宋" w:hAnsi="Times New Roman" w:cs="Times New Roman" w:hint="default"/>
                <w:color w:val="auto"/>
                <w:sz w:val="21"/>
                <w:szCs w:val="21"/>
                <w:highlight w:val="none"/>
                <w:vertAlign w:val="baseline"/>
                <w:lang w:val="en-US" w:eastAsia="zh-CN"/>
              </w:rPr>
              <w:t>%</w:t>
            </w:r>
          </w:p>
        </w:tc>
      </w:tr>
      <w:tr>
        <w:tblPrEx>
          <w:tblW w:w="0" w:type="auto"/>
          <w:jc w:val="center"/>
          <w:tblLayout w:type="fixed"/>
          <w:tblCellMar>
            <w:top w:w="0" w:type="dxa"/>
            <w:left w:w="108" w:type="dxa"/>
            <w:bottom w:w="0" w:type="dxa"/>
            <w:right w:w="108" w:type="dxa"/>
          </w:tblCellMar>
        </w:tblPrEx>
        <w:trPr>
          <w:jc w:val="center"/>
        </w:trPr>
        <w:tc>
          <w:tcPr>
            <w:tcW w:w="2663"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sz w:val="21"/>
                <w:szCs w:val="21"/>
                <w:highlight w:val="none"/>
                <w:vertAlign w:val="baseline"/>
                <w:lang w:val="en-US" w:eastAsia="zh-CN"/>
              </w:rPr>
            </w:pPr>
            <w:r>
              <w:rPr>
                <w:rFonts w:asciiTheme="minorEastAsia" w:eastAsiaTheme="minorEastAsia" w:hAnsiTheme="minorEastAsia" w:cstheme="minorEastAsia" w:hint="eastAsia"/>
                <w:color w:val="auto"/>
                <w:sz w:val="21"/>
                <w:szCs w:val="21"/>
                <w:highlight w:val="none"/>
                <w:vertAlign w:val="baseline"/>
                <w:lang w:val="en-US" w:eastAsia="zh-CN"/>
              </w:rPr>
              <w:t>专业教育课程模块</w:t>
            </w:r>
          </w:p>
        </w:tc>
        <w:tc>
          <w:tcPr>
            <w:tcW w:w="218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48</w:t>
            </w:r>
          </w:p>
        </w:tc>
        <w:tc>
          <w:tcPr>
            <w:tcW w:w="281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26.82</w:t>
            </w:r>
            <w:r>
              <w:rPr>
                <w:rFonts w:ascii="Times New Roman" w:eastAsia="仿宋" w:hAnsi="Times New Roman" w:cs="Times New Roman" w:hint="default"/>
                <w:color w:val="auto"/>
                <w:sz w:val="21"/>
                <w:szCs w:val="21"/>
                <w:highlight w:val="none"/>
                <w:vertAlign w:val="baseline"/>
                <w:lang w:val="en-US" w:eastAsia="zh-CN"/>
              </w:rPr>
              <w:t>%</w:t>
            </w:r>
          </w:p>
        </w:tc>
      </w:tr>
      <w:tr>
        <w:tblPrEx>
          <w:tblW w:w="0" w:type="auto"/>
          <w:jc w:val="center"/>
          <w:tblLayout w:type="fixed"/>
          <w:tblCellMar>
            <w:top w:w="0" w:type="dxa"/>
            <w:left w:w="108" w:type="dxa"/>
            <w:bottom w:w="0" w:type="dxa"/>
            <w:right w:w="108" w:type="dxa"/>
          </w:tblCellMar>
        </w:tblPrEx>
        <w:trPr>
          <w:jc w:val="center"/>
        </w:trPr>
        <w:tc>
          <w:tcPr>
            <w:tcW w:w="2663"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sz w:val="21"/>
                <w:szCs w:val="21"/>
                <w:highlight w:val="none"/>
                <w:vertAlign w:val="baseline"/>
                <w:lang w:val="en-US" w:eastAsia="zh-CN"/>
              </w:rPr>
            </w:pPr>
            <w:r>
              <w:rPr>
                <w:rFonts w:asciiTheme="minorEastAsia" w:eastAsiaTheme="minorEastAsia" w:hAnsiTheme="minorEastAsia" w:cstheme="minorEastAsia" w:hint="eastAsia"/>
                <w:color w:val="auto"/>
                <w:sz w:val="21"/>
                <w:szCs w:val="21"/>
                <w:highlight w:val="none"/>
                <w:vertAlign w:val="baseline"/>
                <w:lang w:val="en-US" w:eastAsia="zh-CN"/>
              </w:rPr>
              <w:t>集中实践环节模块</w:t>
            </w:r>
          </w:p>
        </w:tc>
        <w:tc>
          <w:tcPr>
            <w:tcW w:w="218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37.5</w:t>
            </w:r>
          </w:p>
        </w:tc>
        <w:tc>
          <w:tcPr>
            <w:tcW w:w="281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eastAsia="仿宋" w:hAnsi="Times New Roman" w:cs="Times New Roman" w:hint="default"/>
                <w:color w:val="auto"/>
                <w:sz w:val="21"/>
                <w:szCs w:val="21"/>
                <w:highlight w:val="none"/>
                <w:vertAlign w:val="baseline"/>
                <w:lang w:val="en-US" w:eastAsia="zh-CN"/>
              </w:rPr>
            </w:pPr>
            <w:r>
              <w:rPr>
                <w:rFonts w:ascii="Times New Roman" w:eastAsia="仿宋" w:hAnsi="Times New Roman" w:cs="Times New Roman" w:hint="default"/>
                <w:color w:val="auto"/>
                <w:sz w:val="21"/>
                <w:szCs w:val="21"/>
                <w:highlight w:val="none"/>
                <w:vertAlign w:val="baseline"/>
                <w:lang w:val="en-US" w:eastAsia="zh-CN"/>
              </w:rPr>
              <w:t>20.95</w:t>
            </w:r>
            <w:r>
              <w:rPr>
                <w:rFonts w:ascii="Times New Roman" w:eastAsia="仿宋" w:hAnsi="Times New Roman" w:cs="Times New Roman" w:hint="default"/>
                <w:color w:val="auto"/>
                <w:sz w:val="21"/>
                <w:szCs w:val="21"/>
                <w:highlight w:val="none"/>
                <w:vertAlign w:val="baseline"/>
                <w:lang w:val="en-US" w:eastAsia="zh-CN"/>
              </w:rPr>
              <w:t>%</w:t>
            </w:r>
          </w:p>
        </w:tc>
      </w:tr>
    </w:tbl>
    <w:p>
      <w:pPr>
        <w:rPr>
          <w:rFonts w:ascii="Times New Roman" w:hAnsi="Times New Roman" w:cs="Times New Roman" w:hint="default"/>
          <w:b/>
          <w:bCs/>
          <w:spacing w:val="0"/>
          <w:w w:val="100"/>
          <w:kern w:val="4"/>
          <w:position w:val="0"/>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654"/>
        <w:gridCol w:w="2181"/>
        <w:gridCol w:w="295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2654" w:type="dxa"/>
            <w:vAlign w:val="top"/>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firstLine="0" w:leftChars="0" w:firstLineChars="0"/>
              <w:jc w:val="center"/>
              <w:textAlignment w:val="auto"/>
              <w:rPr>
                <w:rFonts w:asciiTheme="minorEastAsia" w:eastAsiaTheme="minorEastAsia" w:hAnsiTheme="minorEastAsia" w:cstheme="minorEastAsia" w:hint="eastAsia"/>
                <w:b/>
                <w:bCs/>
                <w:color w:val="auto"/>
                <w:kern w:val="2"/>
                <w:sz w:val="21"/>
                <w:szCs w:val="21"/>
                <w:highlight w:val="none"/>
                <w:vertAlign w:val="baseline"/>
                <w:lang w:val="en-US" w:eastAsia="zh-CN"/>
              </w:rPr>
            </w:pPr>
            <w:r>
              <w:rPr>
                <w:rFonts w:asciiTheme="minorEastAsia" w:eastAsiaTheme="minorEastAsia" w:hAnsiTheme="minorEastAsia" w:cstheme="minorEastAsia" w:hint="eastAsia"/>
                <w:b/>
                <w:bCs/>
                <w:color w:val="auto"/>
                <w:kern w:val="0"/>
                <w:sz w:val="21"/>
                <w:szCs w:val="21"/>
                <w:highlight w:val="none"/>
                <w:lang w:val="en-US" w:eastAsia="zh-CN" w:bidi="ar"/>
              </w:rPr>
              <w:t>分项统计</w:t>
            </w:r>
          </w:p>
        </w:tc>
        <w:tc>
          <w:tcPr>
            <w:tcW w:w="2181" w:type="dxa"/>
            <w:vAlign w:val="top"/>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firstLine="0" w:leftChars="0" w:firstLineChars="0"/>
              <w:jc w:val="center"/>
              <w:textAlignment w:val="auto"/>
              <w:rPr>
                <w:rFonts w:asciiTheme="minorEastAsia" w:eastAsiaTheme="minorEastAsia" w:hAnsiTheme="minorEastAsia" w:cstheme="minorEastAsia" w:hint="eastAsia"/>
                <w:b/>
                <w:bCs/>
                <w:color w:val="auto"/>
                <w:kern w:val="2"/>
                <w:sz w:val="21"/>
                <w:szCs w:val="21"/>
                <w:highlight w:val="none"/>
                <w:vertAlign w:val="baseline"/>
                <w:lang w:val="en-US" w:eastAsia="zh-CN"/>
              </w:rPr>
            </w:pPr>
            <w:r>
              <w:rPr>
                <w:rFonts w:asciiTheme="minorEastAsia" w:eastAsiaTheme="minorEastAsia" w:hAnsiTheme="minorEastAsia" w:cstheme="minorEastAsia" w:hint="eastAsia"/>
                <w:b/>
                <w:bCs/>
                <w:color w:val="auto"/>
                <w:kern w:val="0"/>
                <w:sz w:val="21"/>
                <w:szCs w:val="21"/>
                <w:highlight w:val="none"/>
                <w:lang w:val="en-US" w:eastAsia="zh-CN" w:bidi="ar"/>
              </w:rPr>
              <w:t>学分</w:t>
            </w:r>
          </w:p>
        </w:tc>
        <w:tc>
          <w:tcPr>
            <w:tcW w:w="2956" w:type="dxa"/>
            <w:vAlign w:val="top"/>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firstLine="0" w:leftChars="0" w:firstLineChars="0"/>
              <w:jc w:val="center"/>
              <w:textAlignment w:val="auto"/>
              <w:rPr>
                <w:rFonts w:asciiTheme="minorEastAsia" w:eastAsiaTheme="minorEastAsia" w:hAnsiTheme="minorEastAsia" w:cstheme="minorEastAsia" w:hint="eastAsia"/>
                <w:b/>
                <w:bCs/>
                <w:color w:val="auto"/>
                <w:kern w:val="0"/>
                <w:sz w:val="21"/>
                <w:szCs w:val="21"/>
                <w:highlight w:val="none"/>
                <w:lang w:val="en-US" w:eastAsia="zh-CN" w:bidi="ar"/>
              </w:rPr>
            </w:pPr>
            <w:r>
              <w:rPr>
                <w:rFonts w:asciiTheme="minorEastAsia" w:eastAsiaTheme="minorEastAsia" w:hAnsiTheme="minorEastAsia" w:cstheme="minorEastAsia" w:hint="eastAsia"/>
                <w:b/>
                <w:bCs/>
                <w:color w:val="auto"/>
                <w:kern w:val="0"/>
                <w:sz w:val="21"/>
                <w:szCs w:val="21"/>
                <w:highlight w:val="none"/>
                <w:lang w:val="en-US" w:eastAsia="zh-CN" w:bidi="ar"/>
              </w:rPr>
              <w:t>学分占比</w:t>
            </w:r>
          </w:p>
        </w:tc>
      </w:tr>
      <w:tr>
        <w:tblPrEx>
          <w:tblW w:w="0" w:type="auto"/>
          <w:jc w:val="center"/>
          <w:tblCellMar>
            <w:top w:w="0" w:type="dxa"/>
            <w:left w:w="108" w:type="dxa"/>
            <w:bottom w:w="0" w:type="dxa"/>
            <w:right w:w="108" w:type="dxa"/>
          </w:tblCellMar>
        </w:tblPrEx>
        <w:trPr>
          <w:jc w:val="center"/>
        </w:trPr>
        <w:tc>
          <w:tcPr>
            <w:tcW w:w="2654"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kern w:val="2"/>
                <w:sz w:val="21"/>
                <w:szCs w:val="21"/>
                <w:highlight w:val="none"/>
                <w:vertAlign w:val="baseline"/>
                <w:lang w:val="en-US" w:eastAsia="zh-CN"/>
              </w:rPr>
            </w:pPr>
            <w:r>
              <w:rPr>
                <w:rFonts w:asciiTheme="minorEastAsia" w:eastAsiaTheme="minorEastAsia" w:hAnsiTheme="minorEastAsia" w:cstheme="minorEastAsia" w:hint="eastAsia"/>
                <w:color w:val="auto"/>
                <w:kern w:val="2"/>
                <w:sz w:val="21"/>
                <w:szCs w:val="21"/>
                <w:highlight w:val="none"/>
                <w:vertAlign w:val="baseline"/>
                <w:lang w:val="en-US" w:eastAsia="zh-CN"/>
              </w:rPr>
              <w:t>应修的实践学分</w:t>
            </w:r>
          </w:p>
        </w:tc>
        <w:tc>
          <w:tcPr>
            <w:tcW w:w="218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hAnsi="Times New Roman" w:eastAsiaTheme="minorEastAsia" w:cs="Times New Roman" w:hint="default"/>
                <w:color w:val="auto"/>
                <w:kern w:val="2"/>
                <w:sz w:val="21"/>
                <w:szCs w:val="21"/>
                <w:highlight w:val="none"/>
                <w:vertAlign w:val="baseline"/>
                <w:lang w:val="en-US" w:eastAsia="zh-CN"/>
              </w:rPr>
            </w:pPr>
            <w:r>
              <w:rPr>
                <w:rFonts w:ascii="Times New Roman" w:hAnsi="Times New Roman" w:eastAsiaTheme="minorEastAsia" w:cs="Times New Roman" w:hint="default"/>
                <w:color w:val="auto"/>
                <w:kern w:val="2"/>
                <w:sz w:val="21"/>
                <w:szCs w:val="21"/>
                <w:highlight w:val="none"/>
                <w:vertAlign w:val="baseline"/>
                <w:lang w:val="en-US" w:eastAsia="zh-CN"/>
              </w:rPr>
              <w:t>53.3</w:t>
            </w:r>
          </w:p>
        </w:tc>
        <w:tc>
          <w:tcPr>
            <w:tcW w:w="2956" w:type="dxa"/>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firstLine="0" w:leftChars="0" w:firstLineChars="0"/>
              <w:jc w:val="center"/>
              <w:textAlignment w:val="auto"/>
              <w:rPr>
                <w:rFonts w:ascii="Times New Roman" w:hAnsi="Times New Roman" w:eastAsiaTheme="minorEastAsia" w:cs="Times New Roman" w:hint="default"/>
                <w:color w:val="auto"/>
                <w:kern w:val="2"/>
                <w:sz w:val="21"/>
                <w:szCs w:val="21"/>
                <w:highlight w:val="none"/>
                <w:vertAlign w:val="baseline"/>
                <w:lang w:val="en-US" w:eastAsia="zh-CN"/>
              </w:rPr>
            </w:pPr>
            <w:r>
              <w:rPr>
                <w:rFonts w:ascii="Times New Roman" w:hAnsi="Times New Roman" w:eastAsiaTheme="minorEastAsia" w:cs="Times New Roman" w:hint="default"/>
                <w:color w:val="auto"/>
                <w:kern w:val="2"/>
                <w:sz w:val="21"/>
                <w:szCs w:val="21"/>
                <w:highlight w:val="none"/>
                <w:vertAlign w:val="baseline"/>
                <w:lang w:val="en-US" w:eastAsia="zh-CN"/>
              </w:rPr>
              <w:t>29.78%</w:t>
            </w:r>
          </w:p>
        </w:tc>
      </w:tr>
      <w:tr>
        <w:tblPrEx>
          <w:tblW w:w="0" w:type="auto"/>
          <w:jc w:val="center"/>
          <w:tblCellMar>
            <w:top w:w="0" w:type="dxa"/>
            <w:left w:w="108" w:type="dxa"/>
            <w:bottom w:w="0" w:type="dxa"/>
            <w:right w:w="108" w:type="dxa"/>
          </w:tblCellMar>
        </w:tblPrEx>
        <w:trPr>
          <w:jc w:val="center"/>
        </w:trPr>
        <w:tc>
          <w:tcPr>
            <w:tcW w:w="2654"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heme="minorEastAsia" w:eastAsiaTheme="minorEastAsia" w:hAnsiTheme="minorEastAsia" w:cstheme="minorEastAsia" w:hint="eastAsia"/>
                <w:color w:val="auto"/>
                <w:kern w:val="2"/>
                <w:sz w:val="21"/>
                <w:szCs w:val="21"/>
                <w:highlight w:val="none"/>
                <w:vertAlign w:val="baseline"/>
                <w:lang w:val="en-US" w:eastAsia="zh-CN"/>
              </w:rPr>
            </w:pPr>
            <w:r>
              <w:rPr>
                <w:rFonts w:asciiTheme="minorEastAsia" w:eastAsiaTheme="minorEastAsia" w:hAnsiTheme="minorEastAsia" w:cstheme="minorEastAsia" w:hint="eastAsia"/>
                <w:color w:val="auto"/>
                <w:kern w:val="2"/>
                <w:sz w:val="21"/>
                <w:szCs w:val="21"/>
                <w:highlight w:val="none"/>
                <w:vertAlign w:val="baseline"/>
                <w:lang w:val="en-US" w:eastAsia="zh-CN"/>
              </w:rPr>
              <w:t>开设的选修课程</w:t>
            </w:r>
          </w:p>
        </w:tc>
        <w:tc>
          <w:tcPr>
            <w:tcW w:w="218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hAnsi="Times New Roman" w:eastAsiaTheme="minorEastAsia" w:cs="Times New Roman" w:hint="default"/>
                <w:color w:val="auto"/>
                <w:kern w:val="2"/>
                <w:sz w:val="21"/>
                <w:szCs w:val="21"/>
                <w:highlight w:val="none"/>
                <w:vertAlign w:val="baseline"/>
                <w:lang w:val="en-US" w:eastAsia="zh-CN"/>
              </w:rPr>
            </w:pPr>
            <w:r>
              <w:rPr>
                <w:rFonts w:ascii="Times New Roman" w:hAnsi="Times New Roman" w:eastAsiaTheme="minorEastAsia" w:cs="Times New Roman" w:hint="default"/>
                <w:color w:val="auto"/>
                <w:kern w:val="2"/>
                <w:sz w:val="21"/>
                <w:szCs w:val="21"/>
                <w:highlight w:val="none"/>
                <w:vertAlign w:val="baseline"/>
                <w:lang w:val="en-US" w:eastAsia="zh-CN"/>
              </w:rPr>
              <w:t>39</w:t>
            </w:r>
          </w:p>
        </w:tc>
        <w:tc>
          <w:tcPr>
            <w:tcW w:w="2956" w:type="dxa"/>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firstLine="0" w:leftChars="0" w:firstLineChars="0"/>
              <w:jc w:val="center"/>
              <w:textAlignment w:val="auto"/>
              <w:rPr>
                <w:rFonts w:ascii="Times New Roman" w:hAnsi="Times New Roman" w:eastAsiaTheme="minorEastAsia" w:cs="Times New Roman" w:hint="default"/>
                <w:color w:val="auto"/>
                <w:kern w:val="2"/>
                <w:sz w:val="21"/>
                <w:szCs w:val="21"/>
                <w:highlight w:val="none"/>
                <w:vertAlign w:val="baseline"/>
                <w:lang w:val="en-US" w:eastAsia="zh-CN"/>
              </w:rPr>
            </w:pPr>
            <w:r>
              <w:rPr>
                <w:rFonts w:ascii="Times New Roman" w:hAnsi="Times New Roman" w:eastAsiaTheme="minorEastAsia" w:cs="Times New Roman" w:hint="default"/>
                <w:color w:val="auto"/>
                <w:kern w:val="2"/>
                <w:sz w:val="21"/>
                <w:szCs w:val="21"/>
                <w:highlight w:val="none"/>
                <w:vertAlign w:val="baseline"/>
                <w:lang w:val="en-US" w:eastAsia="zh-CN"/>
              </w:rPr>
              <w:t>21.79%</w:t>
            </w:r>
          </w:p>
        </w:tc>
      </w:tr>
    </w:tbl>
    <w:p>
      <w:pPr>
        <w:rPr>
          <w:rFonts w:ascii="Times New Roman" w:hAnsi="Times New Roman" w:cs="Times New Roman" w:hint="default"/>
          <w:b/>
          <w:bCs/>
          <w:spacing w:val="0"/>
          <w:w w:val="100"/>
          <w:kern w:val="4"/>
          <w:position w:val="0"/>
        </w:rPr>
      </w:pPr>
    </w:p>
    <w:p>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ind w:firstLine="420" w:firstLineChars="200"/>
        <w:textAlignment w:val="auto"/>
        <w:rPr>
          <w:rFonts w:ascii="Times New Roman" w:hAnsi="Times New Roman" w:cs="Times New Roman" w:hint="default"/>
          <w:b/>
          <w:bCs/>
          <w:spacing w:val="0"/>
          <w:w w:val="100"/>
          <w:kern w:val="4"/>
          <w:position w:val="0"/>
        </w:rPr>
      </w:pPr>
      <w:r>
        <w:rPr>
          <w:rFonts w:ascii="Times New Roman" w:hAnsi="Times New Roman" w:cs="Times New Roman" w:hint="default"/>
          <w:b/>
          <w:bCs/>
          <w:spacing w:val="0"/>
          <w:w w:val="100"/>
          <w:kern w:val="4"/>
          <w:position w:val="0"/>
        </w:rPr>
        <w:t>(四) 第二课堂</w:t>
      </w:r>
    </w:p>
    <w:p>
      <w:pPr>
        <w:widowControl/>
        <w:kinsoku w:val="0"/>
        <w:autoSpaceDE w:val="0"/>
        <w:autoSpaceDN w:val="0"/>
        <w:adjustRightInd w:val="0"/>
        <w:snapToGrid w:val="0"/>
        <w:spacing w:line="360" w:lineRule="auto"/>
        <w:ind w:right="74" w:firstLine="420"/>
        <w:jc w:val="left"/>
        <w:textAlignment w:val="baseline"/>
        <w:rPr>
          <w:rFonts w:ascii="Times New Roman" w:hAnsi="Times New Roman" w:cs="Times New Roman" w:hint="default"/>
          <w:snapToGrid w:val="0"/>
          <w:color w:val="000000"/>
          <w:spacing w:val="0"/>
          <w:w w:val="100"/>
          <w:kern w:val="4"/>
          <w:position w:val="0"/>
          <w:szCs w:val="21"/>
        </w:rPr>
        <w:sectPr>
          <w:footerReference w:type="default" r:id="rId5"/>
          <w:pgSz w:w="11905" w:h="16838"/>
          <w:pgMar w:top="1417" w:right="1134" w:bottom="1417" w:left="1134" w:header="850" w:footer="850" w:gutter="0"/>
          <w:pgNumType w:fmt="decimal" w:start="1"/>
          <w:cols w:num="1" w:space="0"/>
          <w:rtlGutter w:val="0"/>
          <w:docGrid w:type="linesAndChars" w:linePitch="318" w:charSpace="0"/>
        </w:sectPr>
      </w:pPr>
      <w:r>
        <w:rPr>
          <w:rFonts w:ascii="Times New Roman" w:hAnsi="Times New Roman" w:cs="Times New Roman" w:hint="default"/>
          <w:snapToGrid w:val="0"/>
          <w:color w:val="000000"/>
          <w:spacing w:val="0"/>
          <w:w w:val="100"/>
          <w:kern w:val="4"/>
          <w:position w:val="0"/>
          <w:szCs w:val="21"/>
          <w:lang w:eastAsia="zh-CN"/>
        </w:rPr>
        <w:t>第二课堂活动全方位育人，协同支撑专业毕业要求达成，分模块进行分类记录和管理，不少于8学分，包含三周劳动实践。第二课堂学分不计入总学分。</w:t>
      </w:r>
    </w:p>
    <w:p>
      <w:pPr>
        <w:keepNext w:val="0"/>
        <w:keepLines w:val="0"/>
        <w:pageBreakBefore w:val="0"/>
        <w:widowControl w:val="0"/>
        <w:kinsoku/>
        <w:wordWrap/>
        <w:overflowPunct/>
        <w:topLinePunct w:val="0"/>
        <w:autoSpaceDE w:val="0"/>
        <w:autoSpaceDN w:val="0"/>
        <w:bidi w:val="0"/>
        <w:spacing w:before="156" w:beforeLines="50" w:after="156" w:afterLines="50" w:line="360" w:lineRule="auto"/>
        <w:textAlignment w:val="auto"/>
        <w:outlineLvl w:val="2"/>
        <w:rPr>
          <w:rFonts w:ascii="Times New Roman" w:hAnsi="Times New Roman" w:cs="Times New Roman" w:hint="default"/>
          <w:b/>
          <w:spacing w:val="0"/>
          <w:w w:val="100"/>
          <w:kern w:val="4"/>
          <w:position w:val="0"/>
          <w:sz w:val="24"/>
        </w:rPr>
      </w:pPr>
      <w:r>
        <w:rPr>
          <w:rFonts w:ascii="Times New Roman" w:hAnsi="Times New Roman" w:cs="Times New Roman" w:hint="default"/>
          <w:b/>
          <w:spacing w:val="0"/>
          <w:w w:val="100"/>
          <w:kern w:val="4"/>
          <w:position w:val="0"/>
          <w:sz w:val="24"/>
        </w:rPr>
        <w:t>五、专业课程设置一览表（中英文对照）</w:t>
      </w:r>
    </w:p>
    <w:tbl>
      <w:tblPr>
        <w:tblStyle w:val="TableNormal"/>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0" w:type="dxa"/>
          <w:bottom w:w="0" w:type="dxa"/>
          <w:right w:w="0" w:type="dxa"/>
        </w:tblCellMar>
      </w:tblPr>
      <w:tblGrid>
        <w:gridCol w:w="459"/>
        <w:gridCol w:w="487"/>
        <w:gridCol w:w="1116"/>
        <w:gridCol w:w="883"/>
        <w:gridCol w:w="621"/>
        <w:gridCol w:w="753"/>
        <w:gridCol w:w="751"/>
        <w:gridCol w:w="571"/>
        <w:gridCol w:w="605"/>
        <w:gridCol w:w="531"/>
        <w:gridCol w:w="567"/>
        <w:gridCol w:w="709"/>
        <w:gridCol w:w="524"/>
        <w:gridCol w:w="1007"/>
      </w:tblGrid>
      <w:tr>
        <w:tblPrEx>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0" w:type="dxa"/>
            <w:bottom w:w="0" w:type="dxa"/>
            <w:right w:w="0" w:type="dxa"/>
          </w:tblCellMar>
        </w:tblPrEx>
        <w:trPr>
          <w:trHeight w:val="510"/>
          <w:tblHeader/>
          <w:jc w:val="center"/>
        </w:trPr>
        <w:tc>
          <w:tcPr>
            <w:tcW w:w="946" w:type="dxa"/>
            <w:gridSpan w:val="2"/>
            <w:shd w:val="clear" w:color="auto" w:fill="auto"/>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课程</w:t>
            </w:r>
          </w:p>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类别</w:t>
            </w:r>
          </w:p>
        </w:tc>
        <w:tc>
          <w:tcPr>
            <w:tcW w:w="1116"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课程</w:t>
            </w:r>
          </w:p>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代码</w:t>
            </w:r>
          </w:p>
        </w:tc>
        <w:tc>
          <w:tcPr>
            <w:tcW w:w="3579" w:type="dxa"/>
            <w:gridSpan w:val="5"/>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课程名称</w:t>
            </w:r>
          </w:p>
        </w:tc>
        <w:tc>
          <w:tcPr>
            <w:tcW w:w="605"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学分</w:t>
            </w:r>
          </w:p>
        </w:tc>
        <w:tc>
          <w:tcPr>
            <w:tcW w:w="531"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总</w:t>
            </w:r>
          </w:p>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学时</w:t>
            </w:r>
          </w:p>
        </w:tc>
        <w:tc>
          <w:tcPr>
            <w:tcW w:w="567"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理论学时</w:t>
            </w:r>
          </w:p>
        </w:tc>
        <w:tc>
          <w:tcPr>
            <w:tcW w:w="709"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实验实践学时</w:t>
            </w:r>
          </w:p>
        </w:tc>
        <w:tc>
          <w:tcPr>
            <w:tcW w:w="524"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开课</w:t>
            </w:r>
          </w:p>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学期</w:t>
            </w:r>
          </w:p>
        </w:tc>
        <w:tc>
          <w:tcPr>
            <w:tcW w:w="1007"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exact"/>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备注</w:t>
            </w: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val="restart"/>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231811001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思想道德与法治</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Ideology, Morality, and Rule of Law</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231811003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形势与政策Ⅰ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Situation and Policy I</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211811004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中国近现代史纲要</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Outline of Modern Chinese History</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211812004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社会主义发展史</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History of Socialist Development</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231811002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马克思主义基本原理</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Basic Principles of Marxism</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211811008</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习近平新时代中国特色社会主义思想概论</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Xi Jinping's Introduction to Socialism with Chinese Characteristics in the New Era</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211811009</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毛泽东思想和中国特色社会主义理论体系概论</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Mao Zedong Thought &amp; Outline of Theory of Socialism With Chinese Characteristics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231811004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形势与政策Ⅱ</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Situation and Policy II</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231811005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形势与政策Ⅲ</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Situation and Policy III</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思想政治课程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231811006</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形势与政策Ⅳ</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Situation and Policy IV</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军体课程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213111001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军事理论</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Military Theory</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军体课程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232111001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体育Ⅰ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Physical Education Ⅰ</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军体课程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232111002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体育Ⅱ</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Physical Education Ⅱ</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军体课程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232111003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体育Ⅲ</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Physical Education Ⅲ</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军体课程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232111004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体育Ⅳ</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Physical Education Ⅳ</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军体课程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232111005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体育Ⅴ</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Physical Education Ⅴ</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军体课程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232111006</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体育Ⅵ</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Physical Education Ⅵ</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外语课程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211611005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大学英语听说Ⅰ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English Listening and SpeakingⅠ</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外语课程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251611001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大学英语读写Ⅰ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English Reading and WritingⅠ</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外语课程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211611006</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大学英语听说Ⅱ</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English Listening and SpeakingⅡ</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外语课程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251611002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大学英语读写Ⅱ</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English Reading and Writing II</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外语课程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251611003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新工科大学英语Ⅰ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English for New Engineering Ⅰ</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外语课程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213691008</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科技英语翻译</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Translation of Science and Technology English</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信息课程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230518003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计算思维与人工智能导论(A)</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Computational Thinking and Introduction to  Artificial Intelligence(A)</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信息课程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230518008</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Python程序设计(B)</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Python programmin(B)</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信息课程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252718001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信息检索与数智素养</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Information Retrieval and Digital-Intelligent Literacy</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238112001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大学生心理健康教育</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Psychological Health Education for College Students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211811011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大学生国家安全教育</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National Security Education for College Students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232612001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中国传统文化</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Traditional Chinese Culture</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232612002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大学生劳动教育</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Labor Education for University Students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258322001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大学生职业生涯规划与就业指导I</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Career Planning and Employment Guidance for College StudentsI</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258322002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大学生职业生涯规划与就业指导II</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Career Planning and Employment Guidance for College StudentsII</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X1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美育限选课(学生自选)</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X3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人文社科类(学生自选)</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建筑信息技术基础</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Fundamentals of Building Information Technology</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258322003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大学生职业生涯规划与就业指导III</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Career Planning and Employment Guidance for College StudentsIII</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通识教育选修课程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238322004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大学生职业生涯规划与就业指导IV</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Career Planning and Employment Guidance for College StudentsIV</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67"/>
          <w:jc w:val="center"/>
        </w:trPr>
        <w:tc>
          <w:tcPr>
            <w:tcW w:w="2062" w:type="dxa"/>
            <w:gridSpan w:val="3"/>
            <w:shd w:val="clear" w:color="auto" w:fill="auto"/>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应修学分</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47</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必修学分</w:t>
            </w:r>
          </w:p>
        </w:tc>
        <w:tc>
          <w:tcPr>
            <w:tcW w:w="1707" w:type="dxa"/>
            <w:gridSpan w:val="3"/>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29.5</w:t>
            </w:r>
          </w:p>
        </w:tc>
        <w:tc>
          <w:tcPr>
            <w:tcW w:w="1276"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选修学分</w:t>
            </w:r>
          </w:p>
        </w:tc>
        <w:tc>
          <w:tcPr>
            <w:tcW w:w="1531"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17.5</w:t>
            </w: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val="restart"/>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210718302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建筑制图</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Architectural Drawing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211118901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高等数学(A)Ⅰ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Advanced Mathematics (A)Ⅰ</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211118902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高等数学(A)Ⅱ</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Advanced Mathematics (A)Ⅱ</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211118911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线性代数(C)</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Linear Algebra (C)</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211215901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大学物理实验(A)Ⅰ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Physics Experiment (A)Ⅰ</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0.75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211218901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大学物理(A)Ⅰ</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Physics (A)Ⅰ</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250718304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建筑CAD与参数化设计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Architectural CAD &amp; Parametric Design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211118913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概率论与数理统计(D)</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Probability Theory and Mathematical Statistics (D)</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211215902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大学物理实验(A)Ⅱ</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Physics Experiment (A)Ⅱ</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0.75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211218902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大学物理(A)Ⅱ</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College Physics (A)Ⅱ</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250411913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电工与电子技术（A）</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Electrical Engineering  and  Electronic Technology (A)</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工程力学（建工）</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Engineering Mechanics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结构力学</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Structural Mechanics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250411305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传感器原理及应用</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Sensor Principles &amp; Application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260711605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机械设计基础</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Fundamentals of Mechanical Design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学科基础课程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260711606</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基于AIGC和Python的大数据分析</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Big Data Analysis with AIGC and Python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67"/>
          <w:jc w:val="center"/>
        </w:trPr>
        <w:tc>
          <w:tcPr>
            <w:tcW w:w="2062" w:type="dxa"/>
            <w:gridSpan w:val="3"/>
            <w:shd w:val="clear" w:color="auto" w:fill="auto"/>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应修学分</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46.5</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必修学分</w:t>
            </w:r>
          </w:p>
        </w:tc>
        <w:tc>
          <w:tcPr>
            <w:tcW w:w="1707" w:type="dxa"/>
            <w:gridSpan w:val="3"/>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46.5</w:t>
            </w:r>
          </w:p>
        </w:tc>
        <w:tc>
          <w:tcPr>
            <w:tcW w:w="1276"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选修学分</w:t>
            </w:r>
          </w:p>
        </w:tc>
        <w:tc>
          <w:tcPr>
            <w:tcW w:w="1531"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0</w:t>
            </w: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val="restart"/>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237412001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创新方法基础</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Fundamentals of Innovation Methods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260711639</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智能建造概论</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Introduction to Intelligent Construction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260711642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智能建筑材料</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Building Materials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210718223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房屋建筑学</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Building Architecture</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237412002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大学生创业基础</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Fundamentals of Entrepreneurship for College Students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工程结构设计原理与平法识图</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Principles of Engineering Structure Design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260711608</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土力学与基础工程</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Soil Mechanics and Foundation Engineering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210718310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运筹学(建工)(A)</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Operational Research (Architecture Engineering) (A)</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260711609</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钢结构设计原理</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Principles of Steel Structure Design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260711640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数字建造项目管理</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Digital Construction Project Management</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260711641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智能建造施工</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Construction Engineering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260711610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装配式混凝土结构设计与施工</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Design and Construction of Prefabricated Concrete Structures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专业必修课程</w:t>
            </w:r>
          </w:p>
        </w:tc>
        <w:tc>
          <w:tcPr>
            <w:tcW w:w="1116"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必修学分</w:t>
            </w:r>
          </w:p>
        </w:tc>
        <w:tc>
          <w:tcPr>
            <w:tcW w:w="7522" w:type="dxa"/>
            <w:gridSpan w:val="11"/>
            <w:shd w:val="clear" w:color="auto" w:fill="auto"/>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28.5</w:t>
            </w: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210718320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工程经济与项目评价</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Engineering Economy &amp;Project Evaluation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250711510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网络基础与应用</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Network Fundamental and Application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地下结构工程</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Underground Structure Engineering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BIM虚拟设计与施工</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BIM Virtual Design and Construction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绿色建造与碳排放智能监测管理</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Green Construction and Intelligent Monitoring and Management of Carbon Emissions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工程法规</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Engineering Laws and Regulations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260712616</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工程估价</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Engineering Cost Estimation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智能建造集成采购与合同管理</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Integrated Procurement and Contract Management for Intelligent Construction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260712617</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钢结构智能设计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Design of Steel Structures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260712618</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工程结构抗震与防灾</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Earthquake Resistance and Disaster Prevention for Engineering Structures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260712619</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智能建造机械与装备</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Machinery and Equipment for Intelligent Construction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260712620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智慧造价</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Cost Management</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260712621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建筑结构智能检测与加固</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Inspection and Reinforcement of Building Structures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28</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260712625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智能经济分析与决策</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Economic Analysis and Decision-Making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260712622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智慧交通工程</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Transportation Engineering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260712623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工程结构全流程设计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Full-Process Design of Engineering Structures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260712624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结构健康监测</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Structural Health Monitoring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260712626</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智能运维与管理</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Operation, Maintenance and Management</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选修学分</w:t>
            </w:r>
          </w:p>
        </w:tc>
        <w:tc>
          <w:tcPr>
            <w:tcW w:w="7522" w:type="dxa"/>
            <w:gridSpan w:val="11"/>
            <w:shd w:val="clear" w:color="auto" w:fill="auto"/>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15.5</w:t>
            </w: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val="restart"/>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250718002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智能测绘（A）</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Surveying and Mapping （A）</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48</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250718301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智能测绘（B）</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Surveying and Mapping（B）</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40</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24</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210718222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建设法规</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Building Law</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250711104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无人机航测与数据智能处理（校企合作）</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UAV Aerial Survey and Data Intelligent Processing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250711503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地理空间人工智能</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Geospatial Artificial Intelligence</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250711504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空间大数据分析与云计算</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Spatial Big Data Analysis and Cloud Computing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250711505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无人机遥感与智能解译</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UAV Remote Sensing and Intelligent Interpretation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250718305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智能建筑设备自动化系统工程</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Building  Equipment Automation System Engineering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32</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250711213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工程项目智慧管理</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management of engineering projects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16</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459" w:type="dxa"/>
            <w:vMerge/>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专业教育课程模块</w:t>
            </w:r>
          </w:p>
        </w:tc>
        <w:tc>
          <w:tcPr>
            <w:tcW w:w="487" w:type="dxa"/>
            <w:vMerge/>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360" w:lineRule="exact"/>
              <w:ind w:left="0" w:right="0"/>
              <w:jc w:val="center"/>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专业集群选修课程</w:t>
            </w:r>
          </w:p>
        </w:tc>
        <w:tc>
          <w:tcPr>
            <w:tcW w:w="1116" w:type="dxa"/>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选修学分</w:t>
            </w:r>
          </w:p>
        </w:tc>
        <w:tc>
          <w:tcPr>
            <w:tcW w:w="7522" w:type="dxa"/>
            <w:gridSpan w:val="11"/>
            <w:shd w:val="clear" w:color="auto" w:fill="auto"/>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4</w:t>
            </w:r>
          </w:p>
        </w:tc>
      </w:tr>
      <w:tr>
        <w:tblPrEx>
          <w:tblW w:w="9584" w:type="dxa"/>
          <w:jc w:val="center"/>
          <w:shd w:val="clear" w:color="auto" w:fill="auto"/>
          <w:tblLayout w:type="fixed"/>
          <w:tblCellMar>
            <w:top w:w="0" w:type="dxa"/>
            <w:left w:w="0" w:type="dxa"/>
            <w:bottom w:w="0" w:type="dxa"/>
            <w:right w:w="0" w:type="dxa"/>
          </w:tblCellMar>
        </w:tblPrEx>
        <w:trPr>
          <w:trHeight w:val="567"/>
          <w:jc w:val="center"/>
        </w:trPr>
        <w:tc>
          <w:tcPr>
            <w:tcW w:w="2062" w:type="dxa"/>
            <w:gridSpan w:val="3"/>
            <w:shd w:val="clear" w:color="auto" w:fill="auto"/>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应修学分</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48</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必修学分</w:t>
            </w:r>
          </w:p>
        </w:tc>
        <w:tc>
          <w:tcPr>
            <w:tcW w:w="1707" w:type="dxa"/>
            <w:gridSpan w:val="3"/>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28.5</w:t>
            </w:r>
          </w:p>
        </w:tc>
        <w:tc>
          <w:tcPr>
            <w:tcW w:w="1276"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选修学分</w:t>
            </w:r>
          </w:p>
        </w:tc>
        <w:tc>
          <w:tcPr>
            <w:tcW w:w="1531"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19.5</w:t>
            </w: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val="restart"/>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213124001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入学教育及军训</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Entrance Orientation &amp; Military Training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233114001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劳动教育实践</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Labor Education Practice</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210714302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工程认识实习</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Cognition？Practice for Construction Engineering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250714301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智能测绘实习</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EIntelligent Surveying and Mapping  Practice</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3</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211814010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思想政治理论课实践教学</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The Practice of Ideological and Political Theory Course Teaching</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2.5周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4</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260714627</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数字化结构设计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Digital Structural Design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260714628</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数字建造项目管理课程设计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Course Exercise in Building Engineering  Valuation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260714629</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智慧工地课程设计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Smart Site Course Project</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260714630</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装配式建筑深化设计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Deep Design of Prefabricated Buildings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260714631</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钢结构智能设计课程设计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Course Project of Intelligent Design of Steel Structures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6</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260714632</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智能建造专业生产实习</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Production Practice</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5.0周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智能检测实践</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Intelligent Inspection Practice</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260714634</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智慧造价课程设计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Course Project of Intelligent Cost Managemen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260714635</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BIM虚拟设计与施工课程设计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Course Project of BIM Virtual Design and Construction</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260714636</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工程结构全流程设计课程设计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Course Project of Full-Process Design of Engineering Structures</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260714637</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智能运维与管理课程设计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Course Project of Intelligent Operation, Maintenance and Management</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7</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213114003</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毕业鉴定</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Graduation Appraisal</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0.0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1007" w:type="dxa"/>
            <w:vMerge w:val="restart"/>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10"/>
          <w:jc w:val="center"/>
        </w:trPr>
        <w:tc>
          <w:tcPr>
            <w:tcW w:w="946" w:type="dxa"/>
            <w:gridSpan w:val="2"/>
            <w:vMerge/>
            <w:shd w:val="clear" w:color="auto" w:fill="auto"/>
            <w:vAlign w:val="center"/>
          </w:tcPr>
          <w:p>
            <w:pPr>
              <w:keepNext w:val="0"/>
              <w:keepLines w:val="0"/>
              <w:suppressLineNumbers w:val="0"/>
              <w:adjustRightInd w:val="0"/>
              <w:snapToGrid w:val="0"/>
              <w:spacing w:before="0" w:beforeAutospacing="0" w:after="0" w:afterAutospacing="0" w:line="340" w:lineRule="exact"/>
              <w:ind w:left="0" w:right="0"/>
              <w:rPr>
                <w:rFonts w:ascii="Times New Roman" w:hAnsi="Times New Roman" w:cs="Times New Roman" w:hint="default"/>
                <w:b/>
                <w:color w:val="000000" w:themeColor="text1"/>
                <w:spacing w:val="0"/>
                <w:w w:val="100"/>
                <w:kern w:val="4"/>
                <w:position w:val="0"/>
                <w:sz w:val="18"/>
                <w:szCs w:val="18"/>
              </w:rPr>
            </w:pPr>
            <w:r>
              <w:rPr>
                <w:rFonts w:ascii="Times New Roman" w:hAnsi="Times New Roman" w:cs="Times New Roman" w:hint="default"/>
                <w:b/>
                <w:color w:val="000000" w:themeColor="text1"/>
                <w:spacing w:val="0"/>
                <w:w w:val="100"/>
                <w:kern w:val="4"/>
                <w:position w:val="0"/>
                <w:sz w:val="18"/>
                <w:szCs w:val="18"/>
              </w:rPr>
              <w:t>集中实践环节模块</w:t>
            </w:r>
          </w:p>
        </w:tc>
        <w:tc>
          <w:tcPr>
            <w:tcW w:w="1116"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260714638</w:t>
            </w:r>
          </w:p>
        </w:tc>
        <w:tc>
          <w:tcPr>
            <w:tcW w:w="3579" w:type="dxa"/>
            <w:gridSpan w:val="5"/>
            <w:shd w:val="clear" w:color="auto" w:fill="auto"/>
            <w:tcMar>
              <w:top w:w="15" w:type="dxa"/>
              <w:left w:w="15" w:type="dxa"/>
              <w:bottom w:w="0" w:type="dxa"/>
              <w:right w:w="15" w:type="dxa"/>
            </w:tcMar>
            <w:vAlign w:val="center"/>
          </w:tcPr>
          <w:p>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color w:val="000000" w:themeColor="text1"/>
                <w:spacing w:val="0"/>
                <w:w w:val="100"/>
                <w:kern w:val="4"/>
                <w:position w:val="0"/>
                <w:sz w:val="18"/>
                <w:szCs w:val="18"/>
              </w:rPr>
              <w:t>毕业设计</w:t>
            </w:r>
          </w:p>
          <w:p>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Graduation Project</w:t>
            </w:r>
          </w:p>
        </w:tc>
        <w:tc>
          <w:tcPr>
            <w:tcW w:w="605"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15.0</w:t>
            </w:r>
          </w:p>
        </w:tc>
        <w:tc>
          <w:tcPr>
            <w:tcW w:w="531"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15.0周</w:t>
            </w:r>
          </w:p>
        </w:tc>
        <w:tc>
          <w:tcPr>
            <w:tcW w:w="56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w:t>
            </w:r>
          </w:p>
        </w:tc>
        <w:tc>
          <w:tcPr>
            <w:tcW w:w="709"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15.0周</w:t>
            </w:r>
          </w:p>
        </w:tc>
        <w:tc>
          <w:tcPr>
            <w:tcW w:w="524"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eastAsia="Times New Roman" w:hAnsi="Times New Roman" w:cs="Times New Roman" w:hint="default"/>
                <w:color w:val="000000" w:themeColor="text1"/>
                <w:spacing w:val="0"/>
                <w:w w:val="100"/>
                <w:kern w:val="4"/>
                <w:position w:val="0"/>
                <w:sz w:val="18"/>
                <w:szCs w:val="18"/>
              </w:rPr>
              <w:t>8</w:t>
            </w:r>
          </w:p>
        </w:tc>
        <w:tc>
          <w:tcPr>
            <w:tcW w:w="1007" w:type="dxa"/>
            <w:shd w:val="clear" w:color="auto" w:fill="auto"/>
            <w:tcMar>
              <w:top w:w="15" w:type="dxa"/>
              <w:left w:w="15" w:type="dxa"/>
              <w:bottom w:w="0" w:type="dxa"/>
              <w:right w:w="15" w:type="dxa"/>
            </w:tcMar>
            <w:vAlign w:val="center"/>
          </w:tcPr>
          <w:p>
            <w:pPr>
              <w:keepNext w:val="0"/>
              <w:keepLines w:val="0"/>
              <w:suppressLineNumbers w:val="0"/>
              <w:snapToGrid w:val="0"/>
              <w:spacing w:before="0" w:beforeAutospacing="0" w:after="0" w:afterAutospacing="0" w:line="240" w:lineRule="auto"/>
              <w:ind w:left="0" w:right="0"/>
              <w:rPr>
                <w:rFonts w:ascii="Times New Roman" w:hAnsi="Times New Roman" w:cs="Times New Roman" w:hint="default"/>
                <w:color w:val="000000" w:themeColor="text1"/>
                <w:spacing w:val="0"/>
                <w:w w:val="100"/>
                <w:kern w:val="4"/>
                <w:position w:val="0"/>
                <w:sz w:val="18"/>
                <w:szCs w:val="18"/>
              </w:rPr>
            </w:pPr>
          </w:p>
        </w:tc>
      </w:tr>
      <w:tr>
        <w:tblPrEx>
          <w:tblW w:w="9584" w:type="dxa"/>
          <w:jc w:val="center"/>
          <w:shd w:val="clear" w:color="auto" w:fill="auto"/>
          <w:tblLayout w:type="fixed"/>
          <w:tblCellMar>
            <w:top w:w="0" w:type="dxa"/>
            <w:left w:w="0" w:type="dxa"/>
            <w:bottom w:w="0" w:type="dxa"/>
            <w:right w:w="0" w:type="dxa"/>
          </w:tblCellMar>
        </w:tblPrEx>
        <w:trPr>
          <w:trHeight w:val="567"/>
          <w:jc w:val="center"/>
        </w:trPr>
        <w:tc>
          <w:tcPr>
            <w:tcW w:w="2062" w:type="dxa"/>
            <w:gridSpan w:val="3"/>
            <w:shd w:val="clear" w:color="auto" w:fill="auto"/>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应修学分</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37.5</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必修学分</w:t>
            </w:r>
          </w:p>
        </w:tc>
        <w:tc>
          <w:tcPr>
            <w:tcW w:w="1707" w:type="dxa"/>
            <w:gridSpan w:val="3"/>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37.5</w:t>
            </w:r>
          </w:p>
        </w:tc>
        <w:tc>
          <w:tcPr>
            <w:tcW w:w="1276"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选修学分</w:t>
            </w:r>
          </w:p>
        </w:tc>
        <w:tc>
          <w:tcPr>
            <w:tcW w:w="1531"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0</w:t>
            </w:r>
          </w:p>
        </w:tc>
      </w:tr>
      <w:tr>
        <w:tblPrEx>
          <w:tblW w:w="9584" w:type="dxa"/>
          <w:jc w:val="center"/>
          <w:shd w:val="clear" w:color="auto" w:fill="auto"/>
          <w:tblLayout w:type="fixed"/>
          <w:tblCellMar>
            <w:top w:w="0" w:type="dxa"/>
            <w:left w:w="0" w:type="dxa"/>
            <w:bottom w:w="0" w:type="dxa"/>
            <w:right w:w="0" w:type="dxa"/>
          </w:tblCellMar>
        </w:tblPrEx>
        <w:trPr>
          <w:trHeight w:val="567"/>
          <w:jc w:val="center"/>
        </w:trPr>
        <w:tc>
          <w:tcPr>
            <w:tcW w:w="2062" w:type="dxa"/>
            <w:gridSpan w:val="3"/>
            <w:shd w:val="clear" w:color="auto" w:fill="auto"/>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应修学分总计</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179</w:t>
            </w:r>
          </w:p>
        </w:tc>
        <w:tc>
          <w:tcPr>
            <w:tcW w:w="1504"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必修学分</w:t>
            </w:r>
          </w:p>
        </w:tc>
        <w:tc>
          <w:tcPr>
            <w:tcW w:w="1707" w:type="dxa"/>
            <w:gridSpan w:val="3"/>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142</w:t>
            </w:r>
          </w:p>
        </w:tc>
        <w:tc>
          <w:tcPr>
            <w:tcW w:w="1276"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选修学分</w:t>
            </w:r>
          </w:p>
        </w:tc>
        <w:tc>
          <w:tcPr>
            <w:tcW w:w="1531" w:type="dxa"/>
            <w:gridSpan w:val="2"/>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jc w:val="center"/>
              <w:rPr>
                <w:rFonts w:ascii="Times New Roman" w:hAnsi="Times New Roman" w:cs="Times New Roman" w:hint="default"/>
                <w:b/>
                <w:bCs/>
                <w:color w:val="000000" w:themeColor="text1"/>
                <w:spacing w:val="0"/>
                <w:w w:val="100"/>
                <w:kern w:val="4"/>
                <w:position w:val="0"/>
                <w:sz w:val="18"/>
                <w:szCs w:val="18"/>
              </w:rPr>
            </w:pPr>
            <w:r>
              <w:rPr>
                <w:rFonts w:ascii="Times New Roman" w:hAnsi="Times New Roman" w:cs="Times New Roman" w:hint="default"/>
                <w:b/>
                <w:bCs/>
                <w:color w:val="000000" w:themeColor="text1"/>
                <w:spacing w:val="0"/>
                <w:w w:val="100"/>
                <w:kern w:val="4"/>
                <w:position w:val="0"/>
                <w:sz w:val="18"/>
                <w:szCs w:val="18"/>
              </w:rPr>
              <w:t>37</w:t>
            </w:r>
          </w:p>
        </w:tc>
      </w:tr>
      <w:tr>
        <w:tblPrEx>
          <w:tblW w:w="9584" w:type="dxa"/>
          <w:jc w:val="center"/>
          <w:shd w:val="clear" w:color="auto" w:fill="auto"/>
          <w:tblLayout w:type="fixed"/>
          <w:tblCellMar>
            <w:top w:w="0" w:type="dxa"/>
            <w:left w:w="0" w:type="dxa"/>
            <w:bottom w:w="0" w:type="dxa"/>
            <w:right w:w="0" w:type="dxa"/>
          </w:tblCellMar>
        </w:tblPrEx>
        <w:trPr>
          <w:trHeight w:val="567"/>
          <w:jc w:val="center"/>
        </w:trPr>
        <w:tc>
          <w:tcPr>
            <w:tcW w:w="946" w:type="dxa"/>
            <w:gridSpan w:val="2"/>
            <w:shd w:val="clear" w:color="auto" w:fill="auto"/>
            <w:vAlign w:val="center"/>
          </w:tcPr>
          <w:p>
            <w:pPr>
              <w:keepNext w:val="0"/>
              <w:keepLines w:val="0"/>
              <w:suppressLineNumbers w:val="0"/>
              <w:adjustRightInd w:val="0"/>
              <w:snapToGrid w:val="0"/>
              <w:spacing w:before="3" w:beforeLines="1" w:beforeAutospacing="0" w:after="3" w:afterLines="1" w:afterAutospacing="0" w:line="240" w:lineRule="auto"/>
              <w:ind w:left="0" w:right="0"/>
              <w:jc w:val="center"/>
              <w:rPr>
                <w:rFonts w:ascii="Times New Roman" w:hAnsi="Times New Roman" w:cs="Times New Roman" w:hint="default"/>
                <w:b/>
                <w:bCs/>
                <w:color w:val="000000" w:themeColor="text1"/>
                <w:spacing w:val="0"/>
                <w:w w:val="100"/>
                <w:kern w:val="4"/>
                <w:position w:val="0"/>
                <w:sz w:val="24"/>
              </w:rPr>
            </w:pPr>
            <w:r>
              <w:rPr>
                <w:rFonts w:ascii="Times New Roman" w:hAnsi="Times New Roman" w:cs="Times New Roman" w:hint="default"/>
                <w:b/>
                <w:bCs/>
                <w:color w:val="000000" w:themeColor="text1"/>
                <w:spacing w:val="0"/>
                <w:w w:val="100"/>
                <w:kern w:val="4"/>
                <w:position w:val="0"/>
                <w:sz w:val="24"/>
              </w:rPr>
              <w:t>制定</w:t>
            </w:r>
          </w:p>
        </w:tc>
        <w:tc>
          <w:tcPr>
            <w:tcW w:w="1999" w:type="dxa"/>
            <w:gridSpan w:val="2"/>
            <w:shd w:val="clear" w:color="auto" w:fill="auto"/>
            <w:vAlign w:val="center"/>
          </w:tcPr>
          <w:p>
            <w:pPr>
              <w:keepNext w:val="0"/>
              <w:keepLines w:val="0"/>
              <w:suppressLineNumbers w:val="0"/>
              <w:adjustRightInd w:val="0"/>
              <w:snapToGrid w:val="0"/>
              <w:spacing w:before="3" w:beforeLines="1" w:beforeAutospacing="0" w:after="3" w:afterLines="1" w:afterAutospacing="0" w:line="240" w:lineRule="auto"/>
              <w:ind w:left="0" w:right="0"/>
              <w:jc w:val="center"/>
              <w:rPr>
                <w:rFonts w:ascii="Times New Roman" w:eastAsia="宋体" w:hAnsi="Times New Roman" w:cs="Times New Roman" w:hint="eastAsia"/>
                <w:color w:val="000000" w:themeColor="text1"/>
                <w:spacing w:val="0"/>
                <w:w w:val="100"/>
                <w:kern w:val="4"/>
                <w:position w:val="0"/>
                <w:sz w:val="24"/>
                <w:lang w:eastAsia="zh-CN"/>
              </w:rPr>
            </w:pPr>
            <w:r>
              <w:rPr>
                <w:rFonts w:ascii="Times New Roman" w:eastAsia="宋体" w:hAnsi="Times New Roman" w:cs="Times New Roman" w:hint="eastAsia"/>
                <w:b/>
                <w:bCs/>
                <w:color w:val="000000" w:themeColor="text1"/>
                <w:spacing w:val="0"/>
                <w:w w:val="100"/>
                <w:kern w:val="4"/>
                <w:position w:val="0"/>
                <w:sz w:val="24"/>
                <w:lang w:eastAsia="zh-CN"/>
              </w:rPr>
              <w:drawing>
                <wp:inline distT="0" distB="0" distL="114300" distR="114300">
                  <wp:extent cx="831215" cy="353695"/>
                  <wp:effectExtent l="0" t="0" r="6985" b="8255"/>
                  <wp:docPr id="3" name="图片 3" descr="图片签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78553" name="图片 3" descr="图片签章"/>
                          <pic:cNvPicPr>
                            <a:picLocks noChangeAspect="1"/>
                          </pic:cNvPicPr>
                        </pic:nvPicPr>
                        <pic:blipFill>
                          <a:blip xmlns:r="http://schemas.openxmlformats.org/officeDocument/2006/relationships" r:embed="rId6"/>
                          <a:stretch>
                            <a:fillRect/>
                          </a:stretch>
                        </pic:blipFill>
                        <pic:spPr>
                          <a:xfrm>
                            <a:off x="0" y="0"/>
                            <a:ext cx="831215" cy="353695"/>
                          </a:xfrm>
                          <a:prstGeom prst="rect">
                            <a:avLst/>
                          </a:prstGeom>
                        </pic:spPr>
                      </pic:pic>
                    </a:graphicData>
                  </a:graphic>
                </wp:inline>
              </w:drawing>
            </w:r>
          </w:p>
        </w:tc>
        <w:tc>
          <w:tcPr>
            <w:tcW w:w="1374" w:type="dxa"/>
            <w:gridSpan w:val="2"/>
            <w:shd w:val="clear" w:color="auto" w:fill="auto"/>
            <w:vAlign w:val="center"/>
          </w:tcPr>
          <w:p>
            <w:pPr>
              <w:keepNext w:val="0"/>
              <w:keepLines w:val="0"/>
              <w:suppressLineNumbers w:val="0"/>
              <w:adjustRightInd w:val="0"/>
              <w:snapToGrid w:val="0"/>
              <w:spacing w:before="3" w:beforeLines="1" w:beforeAutospacing="0" w:after="3" w:afterLines="1" w:afterAutospacing="0" w:line="240" w:lineRule="auto"/>
              <w:ind w:left="0" w:right="0"/>
              <w:jc w:val="center"/>
              <w:rPr>
                <w:rFonts w:ascii="Times New Roman" w:hAnsi="Times New Roman" w:cs="Times New Roman" w:hint="default"/>
                <w:color w:val="000000" w:themeColor="text1"/>
                <w:spacing w:val="0"/>
                <w:w w:val="100"/>
                <w:kern w:val="4"/>
                <w:position w:val="0"/>
                <w:sz w:val="24"/>
              </w:rPr>
            </w:pPr>
            <w:r>
              <w:rPr>
                <w:rFonts w:ascii="Times New Roman" w:hAnsi="Times New Roman" w:cs="Times New Roman" w:hint="default"/>
                <w:b/>
                <w:bCs/>
                <w:color w:val="000000" w:themeColor="text1"/>
                <w:spacing w:val="0"/>
                <w:w w:val="100"/>
                <w:kern w:val="4"/>
                <w:position w:val="0"/>
                <w:sz w:val="24"/>
              </w:rPr>
              <w:t>审核</w:t>
            </w:r>
          </w:p>
        </w:tc>
        <w:tc>
          <w:tcPr>
            <w:tcW w:w="1322" w:type="dxa"/>
            <w:gridSpan w:val="2"/>
            <w:shd w:val="clear" w:color="auto" w:fill="auto"/>
            <w:vAlign w:val="center"/>
          </w:tcPr>
          <w:p>
            <w:pPr>
              <w:keepNext w:val="0"/>
              <w:keepLines w:val="0"/>
              <w:suppressLineNumbers w:val="0"/>
              <w:adjustRightInd w:val="0"/>
              <w:snapToGrid w:val="0"/>
              <w:spacing w:before="3" w:beforeLines="1" w:beforeAutospacing="0" w:after="3" w:afterLines="1" w:afterAutospacing="0" w:line="240" w:lineRule="auto"/>
              <w:ind w:left="0" w:right="0"/>
              <w:jc w:val="center"/>
              <w:rPr>
                <w:rFonts w:ascii="Times New Roman" w:eastAsia="宋体" w:hAnsi="Times New Roman" w:cs="Times New Roman" w:hint="eastAsia"/>
                <w:b/>
                <w:bCs/>
                <w:color w:val="000000" w:themeColor="text1"/>
                <w:spacing w:val="0"/>
                <w:w w:val="100"/>
                <w:kern w:val="4"/>
                <w:position w:val="0"/>
                <w:sz w:val="24"/>
                <w:lang w:eastAsia="zh-CN"/>
              </w:rPr>
            </w:pPr>
            <w:r>
              <w:rPr>
                <w:rFonts w:ascii="Times New Roman" w:eastAsia="宋体" w:hAnsi="Times New Roman" w:cs="Times New Roman" w:hint="eastAsia"/>
                <w:b/>
                <w:bCs/>
                <w:color w:val="000000" w:themeColor="text1"/>
                <w:spacing w:val="0"/>
                <w:w w:val="100"/>
                <w:kern w:val="4"/>
                <w:position w:val="0"/>
                <w:sz w:val="24"/>
                <w:lang w:eastAsia="zh-CN"/>
              </w:rPr>
              <w:drawing>
                <wp:inline distT="0" distB="0" distL="114300" distR="114300">
                  <wp:extent cx="831215" cy="353695"/>
                  <wp:effectExtent l="0" t="0" r="6985" b="8255"/>
                  <wp:docPr id="2" name="图片 2" descr="图片签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386781" name="图片 2" descr="图片签章"/>
                          <pic:cNvPicPr>
                            <a:picLocks noChangeAspect="1"/>
                          </pic:cNvPicPr>
                        </pic:nvPicPr>
                        <pic:blipFill>
                          <a:blip xmlns:r="http://schemas.openxmlformats.org/officeDocument/2006/relationships" r:embed="rId6"/>
                          <a:stretch>
                            <a:fillRect/>
                          </a:stretch>
                        </pic:blipFill>
                        <pic:spPr>
                          <a:xfrm>
                            <a:off x="0" y="0"/>
                            <a:ext cx="831215" cy="353695"/>
                          </a:xfrm>
                          <a:prstGeom prst="rect">
                            <a:avLst/>
                          </a:prstGeom>
                        </pic:spPr>
                      </pic:pic>
                    </a:graphicData>
                  </a:graphic>
                </wp:inline>
              </w:drawing>
            </w:r>
          </w:p>
        </w:tc>
        <w:tc>
          <w:tcPr>
            <w:tcW w:w="1703" w:type="dxa"/>
            <w:gridSpan w:val="3"/>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3" w:beforeLines="1" w:beforeAutospacing="0" w:after="3" w:afterLines="1" w:afterAutospacing="0" w:line="260" w:lineRule="exact"/>
              <w:ind w:left="0" w:right="0"/>
              <w:jc w:val="center"/>
              <w:rPr>
                <w:rFonts w:ascii="Times New Roman" w:hAnsi="Times New Roman" w:cs="Times New Roman" w:hint="default"/>
                <w:color w:val="000000" w:themeColor="text1"/>
                <w:spacing w:val="0"/>
                <w:w w:val="100"/>
                <w:kern w:val="4"/>
                <w:position w:val="0"/>
                <w:sz w:val="24"/>
              </w:rPr>
            </w:pPr>
            <w:r>
              <w:rPr>
                <w:rFonts w:ascii="Times New Roman" w:hAnsi="Times New Roman" w:cs="Times New Roman" w:hint="default"/>
                <w:b/>
                <w:bCs/>
                <w:color w:val="000000" w:themeColor="text1"/>
                <w:spacing w:val="0"/>
                <w:w w:val="100"/>
                <w:kern w:val="4"/>
                <w:position w:val="0"/>
                <w:sz w:val="24"/>
              </w:rPr>
              <w:t>审定</w:t>
            </w:r>
          </w:p>
        </w:tc>
        <w:tc>
          <w:tcPr>
            <w:tcW w:w="2240" w:type="dxa"/>
            <w:gridSpan w:val="3"/>
            <w:shd w:val="clear" w:color="auto" w:fill="auto"/>
            <w:tcMar>
              <w:top w:w="15" w:type="dxa"/>
              <w:left w:w="15" w:type="dxa"/>
              <w:bottom w:w="0" w:type="dxa"/>
              <w:right w:w="15" w:type="dxa"/>
            </w:tcMar>
            <w:vAlign w:val="center"/>
          </w:tcPr>
          <w:p>
            <w:pPr>
              <w:keepNext w:val="0"/>
              <w:keepLines w:val="0"/>
              <w:suppressLineNumbers w:val="0"/>
              <w:adjustRightInd w:val="0"/>
              <w:snapToGrid w:val="0"/>
              <w:spacing w:before="3" w:beforeLines="1" w:beforeAutospacing="0" w:after="3" w:afterLines="1" w:afterAutospacing="0" w:line="260" w:lineRule="exact"/>
              <w:ind w:left="0" w:right="0"/>
              <w:jc w:val="both"/>
              <w:rPr>
                <w:rFonts w:ascii="Times New Roman" w:hAnsi="Times New Roman" w:cs="Times New Roman" w:hint="default"/>
                <w:color w:val="000000" w:themeColor="text1"/>
                <w:spacing w:val="0"/>
                <w:w w:val="100"/>
                <w:kern w:val="4"/>
                <w:position w:val="0"/>
                <w:sz w:val="24"/>
              </w:rPr>
            </w:pPr>
            <w:r>
              <w:rPr>
                <w:rFonts w:ascii="Times New Roman" w:eastAsia="宋体" w:hAnsi="Times New Roman" w:cs="Times New Roman" w:hint="eastAsia"/>
                <w:b/>
                <w:bCs/>
                <w:color w:val="000000" w:themeColor="text1"/>
                <w:spacing w:val="0"/>
                <w:w w:val="100"/>
                <w:kern w:val="4"/>
                <w:position w:val="0"/>
                <w:sz w:val="24"/>
                <w:lang w:eastAsia="zh-CN"/>
              </w:rPr>
              <w:drawing>
                <wp:anchor distT="0" distB="0" distL="114300" distR="114300" simplePos="0" relativeHeight="251658240" behindDoc="0" locked="0" layoutInCell="1" allowOverlap="1">
                  <wp:simplePos x="0" y="0"/>
                  <wp:positionH relativeFrom="column">
                    <wp:posOffset>33655</wp:posOffset>
                  </wp:positionH>
                  <wp:positionV relativeFrom="paragraph">
                    <wp:posOffset>10795</wp:posOffset>
                  </wp:positionV>
                  <wp:extent cx="831215" cy="353695"/>
                  <wp:effectExtent l="0" t="0" r="6985" b="8255"/>
                  <wp:wrapSquare wrapText="bothSides"/>
                  <wp:docPr id="7" name="图片 7" descr="图片签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74013" name="图片 7" descr="图片签章"/>
                          <pic:cNvPicPr>
                            <a:picLocks noChangeAspect="1"/>
                          </pic:cNvPicPr>
                        </pic:nvPicPr>
                        <pic:blipFill>
                          <a:blip xmlns:r="http://schemas.openxmlformats.org/officeDocument/2006/relationships" r:embed="rId6"/>
                          <a:stretch>
                            <a:fillRect/>
                          </a:stretch>
                        </pic:blipFill>
                        <pic:spPr>
                          <a:xfrm>
                            <a:off x="0" y="0"/>
                            <a:ext cx="831215" cy="353695"/>
                          </a:xfrm>
                          <a:prstGeom prst="rect">
                            <a:avLst/>
                          </a:prstGeom>
                        </pic:spPr>
                      </pic:pic>
                    </a:graphicData>
                  </a:graphic>
                </wp:anchor>
              </w:drawing>
            </w:r>
          </w:p>
        </w:tc>
      </w:tr>
    </w:tbl>
    <w:p>
      <w:pPr>
        <w:keepNext w:val="0"/>
        <w:keepLines w:val="0"/>
        <w:pageBreakBefore w:val="0"/>
        <w:widowControl w:val="0"/>
        <w:kinsoku/>
        <w:wordWrap/>
        <w:overflowPunct/>
        <w:topLinePunct w:val="0"/>
        <w:autoSpaceDE w:val="0"/>
        <w:autoSpaceDN w:val="0"/>
        <w:bidi w:val="0"/>
        <w:spacing w:before="156" w:beforeLines="50" w:after="156" w:afterLines="50" w:line="360" w:lineRule="auto"/>
        <w:textAlignment w:val="auto"/>
        <w:outlineLvl w:val="2"/>
        <w:rPr>
          <w:rFonts w:ascii="Times New Roman" w:hAnsi="Times New Roman" w:cs="Times New Roman" w:hint="eastAsia"/>
          <w:b/>
          <w:spacing w:val="0"/>
          <w:w w:val="100"/>
          <w:kern w:val="4"/>
          <w:position w:val="0"/>
          <w:sz w:val="24"/>
          <w:lang w:val="en-US" w:eastAsia="zh-CN"/>
        </w:rPr>
      </w:pPr>
      <w:r>
        <w:rPr>
          <w:rFonts w:cs="Times New Roman" w:hint="eastAsia"/>
          <w:b/>
          <w:spacing w:val="0"/>
          <w:w w:val="100"/>
          <w:kern w:val="4"/>
          <w:position w:val="0"/>
          <w:sz w:val="24"/>
          <w:lang w:val="en-US" w:eastAsia="zh-CN"/>
        </w:rPr>
        <w:t>六、毕业要求对培养目标的支撑矩阵和课程体系对毕业要求的支撑矩阵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Theme="minorEastAsia" w:eastAsiaTheme="minorEastAsia" w:hAnsiTheme="minorEastAsia" w:cstheme="minorEastAsia" w:hint="eastAsia"/>
          <w:b w:val="0"/>
          <w:bCs w:val="0"/>
          <w:color w:val="000000" w:themeColor="text1"/>
          <w:lang w:val="en-US" w:eastAsia="zh-CN"/>
        </w:rPr>
      </w:pPr>
      <w:r>
        <w:rPr>
          <w:rFonts w:asciiTheme="minorEastAsia" w:eastAsiaTheme="minorEastAsia" w:hAnsiTheme="minorEastAsia" w:cstheme="minorEastAsia" w:hint="eastAsia"/>
          <w:b w:val="0"/>
          <w:bCs w:val="0"/>
          <w:color w:val="000000" w:themeColor="text1"/>
          <w:highlight w:val="none"/>
          <w:lang w:val="en-US" w:eastAsia="zh-CN"/>
        </w:rPr>
        <w:t>1.毕业要求对培养目标的支撑矩阵</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77"/>
        <w:gridCol w:w="1269"/>
        <w:gridCol w:w="1269"/>
        <w:gridCol w:w="1269"/>
        <w:gridCol w:w="126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p>
        </w:tc>
        <w:tc>
          <w:tcPr>
            <w:tcW w:w="1269"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Times New Roman" w:hAnsi="Times New Roman" w:eastAsiaTheme="minorEastAsia" w:cs="Times New Roman" w:hint="default"/>
                <w:szCs w:val="21"/>
              </w:rPr>
            </w:pPr>
            <w:r>
              <w:rPr>
                <w:rFonts w:ascii="Times New Roman" w:hAnsi="Times New Roman" w:eastAsiaTheme="minorEastAsia" w:cs="Times New Roman" w:hint="default"/>
                <w:szCs w:val="21"/>
              </w:rPr>
              <w:t>培养目标1</w:t>
            </w:r>
          </w:p>
        </w:tc>
        <w:tc>
          <w:tcPr>
            <w:tcW w:w="1269"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Times New Roman" w:hAnsi="Times New Roman" w:eastAsiaTheme="minorEastAsia" w:cs="Times New Roman" w:hint="default"/>
                <w:szCs w:val="21"/>
              </w:rPr>
            </w:pPr>
            <w:r>
              <w:rPr>
                <w:rFonts w:ascii="Times New Roman" w:hAnsi="Times New Roman" w:eastAsiaTheme="minorEastAsia" w:cs="Times New Roman" w:hint="default"/>
                <w:szCs w:val="21"/>
              </w:rPr>
              <w:t>培养目标2</w:t>
            </w:r>
          </w:p>
        </w:tc>
        <w:tc>
          <w:tcPr>
            <w:tcW w:w="1269"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Times New Roman" w:hAnsi="Times New Roman" w:eastAsiaTheme="minorEastAsia" w:cs="Times New Roman" w:hint="default"/>
                <w:szCs w:val="21"/>
              </w:rPr>
            </w:pPr>
            <w:r>
              <w:rPr>
                <w:rFonts w:ascii="Times New Roman" w:hAnsi="Times New Roman" w:eastAsiaTheme="minorEastAsia" w:cs="Times New Roman" w:hint="default"/>
                <w:szCs w:val="21"/>
              </w:rPr>
              <w:t>培养目标3</w:t>
            </w:r>
          </w:p>
        </w:tc>
        <w:tc>
          <w:tcPr>
            <w:tcW w:w="1269"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Times New Roman" w:hAnsi="Times New Roman" w:eastAsiaTheme="minorEastAsia" w:cs="Times New Roman" w:hint="default"/>
                <w:szCs w:val="21"/>
              </w:rPr>
            </w:pPr>
            <w:r>
              <w:rPr>
                <w:rFonts w:ascii="Times New Roman" w:hAnsi="Times New Roman" w:eastAsiaTheme="minorEastAsia" w:cs="Times New Roman" w:hint="default"/>
                <w:szCs w:val="21"/>
              </w:rPr>
              <w:t>培养目标4</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毕业要求1</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毕业要求2</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毕业要求3</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毕业要求4</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毕业要求5</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毕业要求6</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毕业要求7</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毕业要求8</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毕业要求9</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毕业要求10</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r>
      <w:tr>
        <w:tblPrEx>
          <w:tblW w:w="0" w:type="auto"/>
          <w:tblInd w:w="0" w:type="dxa"/>
          <w:tblLayout w:type="fixed"/>
          <w:tblCellMar>
            <w:top w:w="0" w:type="dxa"/>
            <w:left w:w="108" w:type="dxa"/>
            <w:bottom w:w="0" w:type="dxa"/>
            <w:right w:w="108" w:type="dxa"/>
          </w:tblCellMar>
        </w:tblPrEx>
        <w:trPr>
          <w:trHeight w:hRule="exact" w:val="369"/>
          <w:tblHeader/>
        </w:trPr>
        <w:tc>
          <w:tcPr>
            <w:tcW w:w="1377" w:type="dxa"/>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szCs w:val="21"/>
              </w:rPr>
            </w:pPr>
            <w:r>
              <w:rPr>
                <w:rFonts w:hint="default"/>
                <w:szCs w:val="21"/>
              </w:rPr>
              <w:t>毕业要求11</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r>
              <w:rPr>
                <w:rFonts w:eastAsia="仿宋" w:hint="default"/>
                <w:b/>
                <w:szCs w:val="21"/>
              </w:rPr>
              <w:t>√</w:t>
            </w:r>
          </w:p>
        </w:tc>
        <w:tc>
          <w:tcPr>
            <w:tcW w:w="1268" w:type="dxa"/>
            <w:vAlign w:val="center"/>
          </w:tcPr>
          <w:p>
            <w:pPr>
              <w:keepNext w:val="0"/>
              <w:keepLines w:val="0"/>
              <w:suppressLineNumbers w:val="0"/>
              <w:autoSpaceDE w:val="0"/>
              <w:autoSpaceDN w:val="0"/>
              <w:adjustRightInd w:val="0"/>
              <w:spacing w:before="0" w:beforeAutospacing="0" w:after="0" w:afterAutospacing="0"/>
              <w:ind w:left="0" w:right="0"/>
              <w:jc w:val="center"/>
              <w:rPr>
                <w:rFonts w:eastAsia="仿宋" w:hint="default"/>
                <w:b/>
                <w:szCs w:val="21"/>
              </w:rPr>
            </w:pPr>
          </w:p>
        </w:tc>
      </w:tr>
    </w:tbl>
    <w:p>
      <w:pPr>
        <w:sectPr>
          <w:pgSz w:w="11906" w:h="16838"/>
          <w:pgMar w:top="1440" w:right="1800" w:bottom="1440" w:left="1800" w:header="851" w:footer="992" w:gutter="0"/>
          <w:cols w:num="1" w:space="425"/>
          <w:docGrid w:type="lines" w:linePitch="312" w:charSpace="0"/>
        </w:sectPr>
      </w:pPr>
    </w:p>
    <w:p>
      <w:pPr>
        <w:spacing w:line="240" w:lineRule="auto"/>
        <w:textAlignment w:val="center"/>
        <w:rPr>
          <w:rFonts w:ascii="Times New Roman" w:hAnsi="Times New Roman" w:cs="Times New Roman" w:hint="default"/>
          <w:spacing w:val="0"/>
          <w:w w:val="100"/>
          <w:kern w:val="4"/>
          <w:position w:val="0"/>
        </w:rPr>
      </w:pPr>
    </w:p>
    <w:p>
      <w:pPr>
        <w:spacing w:line="240" w:lineRule="auto"/>
        <w:textAlignment w:val="center"/>
        <w:rPr>
          <w:rFonts w:ascii="Times New Roman" w:eastAsia="宋体" w:hAnsi="Times New Roman" w:cs="Times New Roman" w:hint="default"/>
          <w:spacing w:val="0"/>
          <w:w w:val="100"/>
          <w:kern w:val="4"/>
          <w:position w:val="0"/>
          <w:lang w:val="en-US" w:eastAsia="zh-CN"/>
        </w:rPr>
      </w:pPr>
      <w:r>
        <w:rPr>
          <w:rFonts w:cs="Times New Roman" w:hint="eastAsia"/>
          <w:spacing w:val="0"/>
          <w:w w:val="100"/>
          <w:kern w:val="4"/>
          <w:position w:val="0"/>
          <w:lang w:val="en-US" w:eastAsia="zh-CN"/>
        </w:rPr>
        <w:t>2.课程与毕业要求的对应关系矩阵</w:t>
      </w:r>
    </w:p>
    <w:tbl>
      <w:tblPr>
        <w:tblW w:w="5083" w:type="pct"/>
        <w:tblLayout w:type="fixed"/>
        <w:tblLook w:val="04A0"/>
      </w:tblPr>
      <w:tblGrid>
        <w:gridCol w:w="667"/>
        <w:gridCol w:w="1353"/>
        <w:gridCol w:w="408"/>
        <w:gridCol w:w="343"/>
        <w:gridCol w:w="343"/>
        <w:gridCol w:w="343"/>
        <w:gridCol w:w="343"/>
        <w:gridCol w:w="343"/>
        <w:gridCol w:w="343"/>
        <w:gridCol w:w="343"/>
        <w:gridCol w:w="343"/>
        <w:gridCol w:w="343"/>
        <w:gridCol w:w="343"/>
        <w:gridCol w:w="343"/>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tblPrEx>
          <w:tblW w:w="5083" w:type="pct"/>
          <w:tblLayout w:type="fixed"/>
          <w:tblLook w:val="04A0"/>
        </w:tblPrEx>
        <w:trPr>
          <w:trHeight w:val="400"/>
          <w:tblHeader/>
        </w:trPr>
        <w:tc>
          <w:tcPr>
            <w:tcW w:w="900" w:type="dxa"/>
            <w:vMerge w:val="restart"/>
            <w:tcBorders>
              <w:top w:val="single" w:sz="4" w:space="0" w:color="auto"/>
              <w:left w:val="single" w:sz="4" w:space="0" w:color="auto"/>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类别</w:t>
            </w:r>
          </w:p>
        </w:tc>
        <w:tc>
          <w:tcPr>
            <w:tcW w:w="1958" w:type="dxa"/>
            <w:vMerge w:val="restart"/>
            <w:tcBorders>
              <w:top w:val="single" w:sz="4" w:space="0" w:color="auto"/>
              <w:left w:val="single" w:sz="4" w:space="0" w:color="auto"/>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课程名称</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学分</w:t>
            </w:r>
          </w:p>
        </w:tc>
        <w:tc>
          <w:tcPr>
            <w:tcW w:w="1600" w:type="dxa"/>
            <w:gridSpan w:val="4"/>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1</w:t>
            </w:r>
          </w:p>
        </w:tc>
        <w:tc>
          <w:tcPr>
            <w:tcW w:w="1200" w:type="dxa"/>
            <w:gridSpan w:val="3"/>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2</w:t>
            </w:r>
          </w:p>
        </w:tc>
        <w:tc>
          <w:tcPr>
            <w:tcW w:w="1200" w:type="dxa"/>
            <w:gridSpan w:val="3"/>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3</w:t>
            </w:r>
          </w:p>
        </w:tc>
        <w:tc>
          <w:tcPr>
            <w:tcW w:w="1200" w:type="dxa"/>
            <w:gridSpan w:val="3"/>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4</w:t>
            </w:r>
          </w:p>
        </w:tc>
        <w:tc>
          <w:tcPr>
            <w:tcW w:w="1200" w:type="dxa"/>
            <w:gridSpan w:val="3"/>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5</w:t>
            </w:r>
          </w:p>
        </w:tc>
        <w:tc>
          <w:tcPr>
            <w:tcW w:w="1600" w:type="dxa"/>
            <w:gridSpan w:val="4"/>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6</w:t>
            </w:r>
          </w:p>
        </w:tc>
        <w:tc>
          <w:tcPr>
            <w:tcW w:w="1600" w:type="dxa"/>
            <w:gridSpan w:val="4"/>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7</w:t>
            </w:r>
          </w:p>
        </w:tc>
        <w:tc>
          <w:tcPr>
            <w:tcW w:w="800" w:type="dxa"/>
            <w:gridSpan w:val="2"/>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8</w:t>
            </w:r>
          </w:p>
        </w:tc>
        <w:tc>
          <w:tcPr>
            <w:tcW w:w="1200" w:type="dxa"/>
            <w:gridSpan w:val="3"/>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9</w:t>
            </w:r>
          </w:p>
        </w:tc>
        <w:tc>
          <w:tcPr>
            <w:tcW w:w="1200" w:type="dxa"/>
            <w:gridSpan w:val="3"/>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10</w:t>
            </w:r>
          </w:p>
        </w:tc>
        <w:tc>
          <w:tcPr>
            <w:tcW w:w="1200" w:type="dxa"/>
            <w:gridSpan w:val="3"/>
            <w:tcBorders>
              <w:top w:val="single" w:sz="4" w:space="0" w:color="auto"/>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ascii="宋体" w:hAnsi="宋体" w:hint="eastAsia"/>
                <w:b/>
                <w:bCs/>
                <w:color w:val="000000"/>
                <w:kern w:val="0"/>
                <w:sz w:val="15"/>
                <w:szCs w:val="15"/>
              </w:rPr>
              <w:t>毕业要求</w:t>
            </w:r>
            <w:r>
              <w:rPr>
                <w:rFonts w:eastAsia="等线" w:hint="default"/>
                <w:b/>
                <w:bCs/>
                <w:color w:val="000000"/>
                <w:kern w:val="0"/>
                <w:sz w:val="15"/>
                <w:szCs w:val="15"/>
              </w:rPr>
              <w:t>11</w:t>
            </w:r>
          </w:p>
        </w:tc>
      </w:tr>
      <w:tr>
        <w:tblPrEx>
          <w:tblW w:w="5083" w:type="pct"/>
          <w:tblLayout w:type="fixed"/>
          <w:tblLook w:val="04A0"/>
        </w:tblPrEx>
        <w:trPr>
          <w:trHeight w:val="400"/>
          <w:tblHeader/>
        </w:trPr>
        <w:tc>
          <w:tcPr>
            <w:tcW w:w="900" w:type="dxa"/>
            <w:vMerge/>
            <w:tcBorders>
              <w:top w:val="single" w:sz="4" w:space="0" w:color="auto"/>
              <w:left w:val="single" w:sz="4" w:space="0" w:color="auto"/>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left"/>
              <w:rPr>
                <w:rFonts w:eastAsia="等线" w:hint="default"/>
                <w:b/>
                <w:bCs/>
                <w:color w:val="000000"/>
                <w:kern w:val="0"/>
                <w:sz w:val="15"/>
                <w:szCs w:val="15"/>
              </w:rPr>
            </w:pPr>
          </w:p>
        </w:tc>
        <w:tc>
          <w:tcPr>
            <w:tcW w:w="1958" w:type="dxa"/>
            <w:vMerge/>
            <w:tcBorders>
              <w:top w:val="single" w:sz="4" w:space="0" w:color="auto"/>
              <w:left w:val="single" w:sz="4" w:space="0" w:color="auto"/>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left"/>
              <w:rPr>
                <w:rFonts w:eastAsia="等线" w:hint="default"/>
                <w:b/>
                <w:bCs/>
                <w:color w:val="000000"/>
                <w:kern w:val="0"/>
                <w:sz w:val="15"/>
                <w:szCs w:val="15"/>
              </w:rPr>
            </w:pPr>
          </w:p>
        </w:tc>
        <w:tc>
          <w:tcPr>
            <w:tcW w:w="500" w:type="dxa"/>
            <w:vMerge/>
            <w:tcBorders>
              <w:top w:val="single" w:sz="4" w:space="0" w:color="auto"/>
              <w:left w:val="single" w:sz="4" w:space="0" w:color="auto"/>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left"/>
              <w:rPr>
                <w:rFonts w:eastAsia="等线" w:hint="default"/>
                <w:b/>
                <w:bCs/>
                <w:color w:val="000000"/>
                <w:kern w:val="0"/>
                <w:sz w:val="15"/>
                <w:szCs w:val="15"/>
              </w:rPr>
            </w:pP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4</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4</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4</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1</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2</w:t>
            </w:r>
          </w:p>
        </w:tc>
        <w:tc>
          <w:tcPr>
            <w:tcW w:w="400" w:type="dxa"/>
            <w:tcBorders>
              <w:top w:val="nil"/>
              <w:left w:val="nil"/>
              <w:bottom w:val="single" w:sz="4" w:space="0" w:color="auto"/>
              <w:right w:val="single" w:sz="4" w:space="0" w:color="auto"/>
            </w:tcBorders>
            <w:shd w:val="clear" w:color="auto" w:fill="B5C7EA" w:themeFill="accent1" w:themeFillTint="66"/>
            <w:vAlign w:val="center"/>
          </w:tcPr>
          <w:p>
            <w:pPr>
              <w:keepNext w:val="0"/>
              <w:keepLines w:val="0"/>
              <w:widowControl/>
              <w:suppressLineNumbers w:val="0"/>
              <w:spacing w:before="0" w:beforeAutospacing="0" w:after="0" w:afterAutospacing="0" w:line="240" w:lineRule="auto"/>
              <w:ind w:left="0" w:right="0"/>
              <w:jc w:val="center"/>
              <w:rPr>
                <w:rFonts w:eastAsia="等线" w:hint="default"/>
                <w:b/>
                <w:bCs/>
                <w:color w:val="000000"/>
                <w:kern w:val="0"/>
                <w:sz w:val="15"/>
                <w:szCs w:val="15"/>
              </w:rPr>
            </w:pPr>
            <w:r>
              <w:rPr>
                <w:rFonts w:eastAsia="等线" w:hint="default"/>
                <w:b/>
                <w:bCs/>
                <w:color w:val="000000"/>
                <w:kern w:val="0"/>
                <w:sz w:val="15"/>
                <w:szCs w:val="15"/>
              </w:rPr>
              <w:t>3</w:t>
            </w:r>
          </w:p>
        </w:tc>
      </w:tr>
    </w:tbl>
    <w:p/>
    <w:sectPr>
      <w:pgSz w:w="16838" w:h="11906" w:orient="landscape"/>
      <w:pgMar w:top="1800" w:right="1440" w:bottom="1800" w:left="144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left" w:pos="239"/>
        <w:tab w:val="clear" w:pos="4153"/>
      </w:tabs>
      <w:jc w:val="center"/>
    </w:pPr>
    <w:r>
      <w:fldChar w:fldCharType="begin"/>
    </w:r>
    <w:r>
      <w:instrText>PAGE</w:instrText>
    </w:r>
    <w:r>
      <w:fldChar w:fldCharType="separate"/>
    </w:r>
    <w:r>
      <w:fldChar w:fldCharType="end"/>
    </w:r>
    <w:r>
      <w:t xml:space="preserve"> / </w:t>
    </w:r>
    <w:r>
      <w:fldChar w:fldCharType="begin"/>
    </w:r>
    <w:r>
      <w:instrText>NUMPAGES</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65A95"/>
    <w:rsid w:val="00610625"/>
    <w:rsid w:val="01245B7E"/>
    <w:rsid w:val="024164DA"/>
    <w:rsid w:val="028133CD"/>
    <w:rsid w:val="03305FFE"/>
    <w:rsid w:val="03563CB7"/>
    <w:rsid w:val="039447DF"/>
    <w:rsid w:val="04CE3D21"/>
    <w:rsid w:val="05216546"/>
    <w:rsid w:val="058906CE"/>
    <w:rsid w:val="05A61A15"/>
    <w:rsid w:val="06B56534"/>
    <w:rsid w:val="08B54BB1"/>
    <w:rsid w:val="08FD1499"/>
    <w:rsid w:val="091C01AA"/>
    <w:rsid w:val="0B723374"/>
    <w:rsid w:val="0C4227F9"/>
    <w:rsid w:val="0CE20369"/>
    <w:rsid w:val="0DA04E19"/>
    <w:rsid w:val="0EBA46CB"/>
    <w:rsid w:val="0EED7507"/>
    <w:rsid w:val="0F772D10"/>
    <w:rsid w:val="104942F3"/>
    <w:rsid w:val="104E7368"/>
    <w:rsid w:val="10F466DC"/>
    <w:rsid w:val="11BC6E1B"/>
    <w:rsid w:val="11E903EC"/>
    <w:rsid w:val="15D048D6"/>
    <w:rsid w:val="16706054"/>
    <w:rsid w:val="16761E05"/>
    <w:rsid w:val="178818B3"/>
    <w:rsid w:val="1877314A"/>
    <w:rsid w:val="18815D6B"/>
    <w:rsid w:val="18B54D9E"/>
    <w:rsid w:val="19046C82"/>
    <w:rsid w:val="1A57289D"/>
    <w:rsid w:val="1A870E35"/>
    <w:rsid w:val="1AA248C6"/>
    <w:rsid w:val="1C2C55BB"/>
    <w:rsid w:val="1C423533"/>
    <w:rsid w:val="1C9E4AD6"/>
    <w:rsid w:val="1E566E09"/>
    <w:rsid w:val="1E6900E2"/>
    <w:rsid w:val="1F07606D"/>
    <w:rsid w:val="1FFD146C"/>
    <w:rsid w:val="20C341F2"/>
    <w:rsid w:val="212339B6"/>
    <w:rsid w:val="212B5D0A"/>
    <w:rsid w:val="21F7025F"/>
    <w:rsid w:val="22C100B3"/>
    <w:rsid w:val="23376DEB"/>
    <w:rsid w:val="246B0F38"/>
    <w:rsid w:val="250E179D"/>
    <w:rsid w:val="25C55791"/>
    <w:rsid w:val="26E369D6"/>
    <w:rsid w:val="28221DB2"/>
    <w:rsid w:val="28274F1D"/>
    <w:rsid w:val="28575C58"/>
    <w:rsid w:val="28AF1A40"/>
    <w:rsid w:val="29B30956"/>
    <w:rsid w:val="2A5F40BB"/>
    <w:rsid w:val="2A6401B8"/>
    <w:rsid w:val="2B9F3B9D"/>
    <w:rsid w:val="2BDA4BD6"/>
    <w:rsid w:val="2C106849"/>
    <w:rsid w:val="2C12005C"/>
    <w:rsid w:val="2CFB243E"/>
    <w:rsid w:val="2DCF003E"/>
    <w:rsid w:val="2DF26F45"/>
    <w:rsid w:val="2E2E7611"/>
    <w:rsid w:val="2E8A62B5"/>
    <w:rsid w:val="2E9574DA"/>
    <w:rsid w:val="2FF12000"/>
    <w:rsid w:val="306863FA"/>
    <w:rsid w:val="308D7093"/>
    <w:rsid w:val="30D00355"/>
    <w:rsid w:val="31421AF1"/>
    <w:rsid w:val="314A1D82"/>
    <w:rsid w:val="325F111E"/>
    <w:rsid w:val="326E7E26"/>
    <w:rsid w:val="327F1099"/>
    <w:rsid w:val="33113F6F"/>
    <w:rsid w:val="3330157F"/>
    <w:rsid w:val="333077D1"/>
    <w:rsid w:val="34BE4140"/>
    <w:rsid w:val="34DF500B"/>
    <w:rsid w:val="354E2190"/>
    <w:rsid w:val="35D541B3"/>
    <w:rsid w:val="36533CC4"/>
    <w:rsid w:val="36CA7816"/>
    <w:rsid w:val="37A3583F"/>
    <w:rsid w:val="3885006C"/>
    <w:rsid w:val="38996B9A"/>
    <w:rsid w:val="3A41067F"/>
    <w:rsid w:val="3ACC4283"/>
    <w:rsid w:val="3C3F30EB"/>
    <w:rsid w:val="3C673F2A"/>
    <w:rsid w:val="3D1B6DFC"/>
    <w:rsid w:val="3D472B15"/>
    <w:rsid w:val="3FD37E62"/>
    <w:rsid w:val="404D01E8"/>
    <w:rsid w:val="40F00D7D"/>
    <w:rsid w:val="40FC63F3"/>
    <w:rsid w:val="413A38D4"/>
    <w:rsid w:val="418A4E23"/>
    <w:rsid w:val="45965BB9"/>
    <w:rsid w:val="45B55914"/>
    <w:rsid w:val="45EB3705"/>
    <w:rsid w:val="47134FF8"/>
    <w:rsid w:val="47BE633D"/>
    <w:rsid w:val="48116EDB"/>
    <w:rsid w:val="4B2C4F40"/>
    <w:rsid w:val="4B8267D2"/>
    <w:rsid w:val="4B8F59ED"/>
    <w:rsid w:val="4D6D0D89"/>
    <w:rsid w:val="4E6E0DEE"/>
    <w:rsid w:val="4E7312C8"/>
    <w:rsid w:val="4EDA3305"/>
    <w:rsid w:val="4F597ACD"/>
    <w:rsid w:val="508814BC"/>
    <w:rsid w:val="50FA6E95"/>
    <w:rsid w:val="51E447B1"/>
    <w:rsid w:val="520D1688"/>
    <w:rsid w:val="52CF6252"/>
    <w:rsid w:val="5309699E"/>
    <w:rsid w:val="541B6B98"/>
    <w:rsid w:val="54AC305F"/>
    <w:rsid w:val="55063453"/>
    <w:rsid w:val="55A45A27"/>
    <w:rsid w:val="55D0590B"/>
    <w:rsid w:val="5682314E"/>
    <w:rsid w:val="57385095"/>
    <w:rsid w:val="5763068E"/>
    <w:rsid w:val="592D28E9"/>
    <w:rsid w:val="5C372B0C"/>
    <w:rsid w:val="5C5E4621"/>
    <w:rsid w:val="5C8962D7"/>
    <w:rsid w:val="5CB3474E"/>
    <w:rsid w:val="5CB53A0D"/>
    <w:rsid w:val="5DE87AF2"/>
    <w:rsid w:val="5EB26BFE"/>
    <w:rsid w:val="5F0C439F"/>
    <w:rsid w:val="5F8852BC"/>
    <w:rsid w:val="5FEB236D"/>
    <w:rsid w:val="5FFF5CB2"/>
    <w:rsid w:val="60347E2A"/>
    <w:rsid w:val="6054690E"/>
    <w:rsid w:val="61F45CEA"/>
    <w:rsid w:val="63BD210C"/>
    <w:rsid w:val="64030466"/>
    <w:rsid w:val="640D4E41"/>
    <w:rsid w:val="64694A07"/>
    <w:rsid w:val="664178E3"/>
    <w:rsid w:val="66D76E6D"/>
    <w:rsid w:val="67694CDA"/>
    <w:rsid w:val="67B83CE7"/>
    <w:rsid w:val="67E2431E"/>
    <w:rsid w:val="67F36F91"/>
    <w:rsid w:val="686679E3"/>
    <w:rsid w:val="68B40142"/>
    <w:rsid w:val="69160E69"/>
    <w:rsid w:val="6ADE7537"/>
    <w:rsid w:val="6B642CA1"/>
    <w:rsid w:val="6B6D0959"/>
    <w:rsid w:val="6CF02DCB"/>
    <w:rsid w:val="6D5F4DF9"/>
    <w:rsid w:val="6DF64CF4"/>
    <w:rsid w:val="6E465A95"/>
    <w:rsid w:val="6EBB71F2"/>
    <w:rsid w:val="6F357E06"/>
    <w:rsid w:val="6F8F6484"/>
    <w:rsid w:val="71EA64F7"/>
    <w:rsid w:val="72264FDB"/>
    <w:rsid w:val="7416564C"/>
    <w:rsid w:val="746F497D"/>
    <w:rsid w:val="74E17AD3"/>
    <w:rsid w:val="756C4377"/>
    <w:rsid w:val="76085536"/>
    <w:rsid w:val="77277B70"/>
    <w:rsid w:val="777A5920"/>
    <w:rsid w:val="77A318EC"/>
    <w:rsid w:val="7856695F"/>
    <w:rsid w:val="789314F6"/>
    <w:rsid w:val="7A4D3D91"/>
    <w:rsid w:val="7A5F6ACA"/>
    <w:rsid w:val="7AF206A2"/>
    <w:rsid w:val="7B5B428C"/>
    <w:rsid w:val="7BC14128"/>
    <w:rsid w:val="7C9308B8"/>
    <w:rsid w:val="7CC45C25"/>
    <w:rsid w:val="7D433B62"/>
    <w:rsid w:val="7D584F27"/>
    <w:rsid w:val="7E48506D"/>
    <w:rsid w:val="7E926838"/>
    <w:rsid w:val="7ECA3C03"/>
    <w:rsid w:val="7F7F2C3F"/>
    <w:rsid w:val="7FD879C8"/>
    <w:rsid w:val="7FE505C8"/>
  </w:rsids>
  <w:docVars>
    <w:docVar w:name="commondata" w:val="eyJoZGlkIjoiYWNiNGNlZDRiNDUxNzQxZTgyMWI5YzM5NDMwMWQ0YW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400" w:lineRule="exact"/>
      <w:jc w:val="both"/>
    </w:pPr>
    <w:rPr>
      <w:rFonts w:ascii="Times New Roman" w:eastAsia="宋体" w:hAnsi="Times New Roman" w:cs="Times New Roman"/>
      <w:kern w:val="6"/>
      <w:sz w:val="21"/>
      <w:szCs w:val="24"/>
      <w:lang w:val="en-US" w:eastAsia="zh-CN" w:bidi="ar-SA"/>
    </w:rPr>
  </w:style>
  <w:style w:type="paragraph" w:styleId="Heading1">
    <w:name w:val="heading 1"/>
    <w:basedOn w:val="Normal"/>
    <w:next w:val="Normal"/>
    <w:qFormat/>
    <w:pPr>
      <w:keepNext/>
      <w:pageBreakBefore/>
      <w:autoSpaceDE/>
      <w:autoSpaceDN w:val="0"/>
      <w:adjustRightInd w:val="0"/>
      <w:ind w:left="0"/>
      <w:jc w:val="center"/>
      <w:textAlignment w:val="center"/>
      <w:outlineLvl w:val="0"/>
    </w:pPr>
    <w:rPr>
      <w:rFonts w:ascii="Microsoft JhengHei" w:eastAsia="方正小标宋_GBK" w:hAnsi="Microsoft JhengHei" w:cs="Microsoft JhengHei"/>
      <w:bCs/>
      <w:kern w:val="0"/>
      <w:sz w:val="44"/>
      <w:lang w:eastAsia="en-US"/>
    </w:rPr>
  </w:style>
  <w:style w:type="paragraph" w:styleId="Heading2">
    <w:name w:val="heading 2"/>
    <w:basedOn w:val="Normal"/>
    <w:next w:val="Normal"/>
    <w:semiHidden/>
    <w:unhideWhenUsed/>
    <w:qFormat/>
    <w:pPr>
      <w:keepNext/>
      <w:keepLines/>
      <w:spacing w:before="140" w:beforeLines="0" w:beforeAutospacing="0" w:after="140" w:afterLines="0" w:afterAutospacing="0" w:line="413" w:lineRule="auto"/>
      <w:outlineLvl w:val="1"/>
    </w:pPr>
    <w:rPr>
      <w:rFonts w:ascii="Arial" w:eastAsia="宋体" w:hAnsi="Arial" w:cs="Times New Roman"/>
      <w:b/>
      <w:sz w:val="24"/>
    </w:rPr>
  </w:style>
  <w:style w:type="paragraph" w:styleId="Heading3">
    <w:name w:val="heading 3"/>
    <w:basedOn w:val="Normal"/>
    <w:next w:val="Normal"/>
    <w:semiHidden/>
    <w:unhideWhenUsed/>
    <w:qFormat/>
    <w:pPr>
      <w:keepNext/>
      <w:keepLines/>
      <w:widowControl/>
      <w:adjustRightInd w:val="0"/>
      <w:snapToGrid/>
      <w:spacing w:after="200" w:afterLines="200" w:line="240" w:lineRule="auto"/>
      <w:ind w:firstLine="0" w:firstLineChars="0"/>
      <w:jc w:val="center"/>
      <w:textAlignment w:val="center"/>
      <w:outlineLvl w:val="2"/>
    </w:pPr>
    <w:rPr>
      <w:rFonts w:ascii="Times New Roman" w:eastAsia="宋体" w:hAnsi="Times New Roman"/>
      <w:b/>
      <w:kern w:val="0"/>
      <w:sz w:val="24"/>
      <w:szCs w:val="21"/>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link w:val="a"/>
    <w:qFormat/>
    <w:pPr>
      <w:jc w:val="left"/>
    </w:pPr>
  </w:style>
  <w:style w:type="paragraph" w:styleId="Footer">
    <w:name w:val="footer"/>
    <w:basedOn w:val="Normal"/>
    <w:qFormat/>
    <w:pPr>
      <w:tabs>
        <w:tab w:val="center" w:pos="4153"/>
        <w:tab w:val="right" w:pos="8306"/>
      </w:tabs>
      <w:autoSpaceDE w:val="0"/>
      <w:autoSpaceDN w:val="0"/>
      <w:snapToGrid w:val="0"/>
      <w:jc w:val="left"/>
    </w:pPr>
    <w:rPr>
      <w:rFonts w:ascii="Times New Roman" w:eastAsia="Times New Roman" w:hAnsi="Times New Roman"/>
      <w:kern w:val="0"/>
      <w:sz w:val="18"/>
      <w:szCs w:val="18"/>
      <w:lang w:eastAsia="en-U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uiPriority w:val="2"/>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a">
    <w:name w:val="批注文字 字符"/>
    <w:basedOn w:val="DefaultParagraphFont"/>
    <w:link w:val="CommentText"/>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ns10="http://schemas.openxmlformats.org/schemaLibrary/2006/main"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20="urn:schemas-microsoft-com:office:exce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false">
              <a:schemeClr val="phClr">
                <a:alpha val="60000"/>
              </a:schemeClr>
            </a:outerShdw>
          </a:effectLst>
        </a:effectStyle>
        <a:effectStyle>
          <a:effectLst>
            <a:reflection stA="50000" endA="300" endPos="40000" dist="25400" dir="5400000" sy="-100000" algn="bl" rotWithShape="fals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xmlns:pkg="http://schemas.microsoft.com/office/2006/xmlPackage">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5375</Words>
  <Characters>5589</Characters>
  <Application>Microsoft Office Word</Application>
  <DocSecurity>0</DocSecurity>
  <Lines>0</Lines>
  <Paragraphs>0</Paragraphs>
  <ScaleCrop>false</ScaleCrop>
  <Company/>
  <LinksUpToDate>false</LinksUpToDate>
  <CharactersWithSpaces>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Qin</dc:creator>
  <cp:lastModifiedBy>Administrator</cp:lastModifiedBy>
  <cp:revision>1</cp:revision>
  <dcterms:created xsi:type="dcterms:W3CDTF">2025-06-11T08:44:00Z</dcterms:created>
  <dcterms:modified xsi:type="dcterms:W3CDTF">2025-07-08T07:01:38Z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D359A9674A6B45019725B53E0CBE6EA8</vt:lpwstr>
  </property>
  <property fmtid="{D5CDD505-2E9C-101B-9397-08002B2CF9AE}" pid="3" name="KSOProductBuildVer">
    <vt:lpwstr>2052-11.1.0.10938</vt:lpwstr>
  </property>
  <property fmtid="{D5CDD505-2E9C-101B-9397-08002B2CF9AE}" pid="4" name="KSOTemplateDocerSaveRecord">
    <vt:lpwstr>eyJoZGlkIjoiZjNjZmQyYTE1MzhlNjA5NmY1MTc4Y2YzZGE3YjVkZGIiLCJ1c2VySWQiOiI1ODc0NjU3ODQifQ==</vt:lpwstr>
  </property>
</Properties>
</file>