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FE" w:rsidRPr="001C768F" w:rsidRDefault="004C49FE" w:rsidP="004C49FE">
      <w:pPr>
        <w:pStyle w:val="p0"/>
        <w:jc w:val="center"/>
        <w:rPr>
          <w:rFonts w:ascii="方正小标宋简体" w:eastAsia="方正小标宋简体" w:hint="eastAsia"/>
          <w:b/>
          <w:sz w:val="40"/>
          <w:szCs w:val="36"/>
        </w:rPr>
      </w:pPr>
      <w:r w:rsidRPr="001C768F">
        <w:rPr>
          <w:rFonts w:ascii="方正小标宋简体" w:eastAsia="方正小标宋简体" w:hint="eastAsia"/>
          <w:b/>
          <w:sz w:val="40"/>
          <w:szCs w:val="36"/>
        </w:rPr>
        <w:t>山东理工大学中华经典诵读大赛</w:t>
      </w:r>
      <w:r w:rsidRPr="001C768F">
        <w:rPr>
          <w:rFonts w:ascii="方正小标宋简体" w:eastAsia="方正小标宋简体" w:hint="eastAsia"/>
          <w:b/>
          <w:color w:val="333333"/>
          <w:sz w:val="40"/>
          <w:szCs w:val="36"/>
        </w:rPr>
        <w:t>评分标准</w:t>
      </w:r>
    </w:p>
    <w:p w:rsidR="004C49FE" w:rsidRDefault="004C49FE" w:rsidP="004C49FE">
      <w:pPr>
        <w:rPr>
          <w:rFonts w:hint="eastAsia"/>
        </w:rPr>
      </w:pPr>
    </w:p>
    <w:p w:rsidR="004C49FE" w:rsidRDefault="004C49FE" w:rsidP="004C49F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481"/>
        <w:gridCol w:w="1493"/>
      </w:tblGrid>
      <w:tr w:rsidR="004C49FE" w:rsidTr="006F6532">
        <w:trPr>
          <w:trHeight w:val="465"/>
        </w:trPr>
        <w:tc>
          <w:tcPr>
            <w:tcW w:w="1548" w:type="dxa"/>
            <w:vAlign w:val="center"/>
          </w:tcPr>
          <w:p w:rsidR="004C49FE" w:rsidRPr="007F56B1" w:rsidRDefault="004C49FE" w:rsidP="006F6532">
            <w:pPr>
              <w:pStyle w:val="p0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</w:rPr>
            </w:pPr>
            <w:r w:rsidRPr="007F56B1">
              <w:rPr>
                <w:rFonts w:ascii="仿宋_GB2312" w:eastAsia="仿宋_GB2312" w:hAnsi="宋体" w:hint="eastAsia"/>
                <w:b/>
                <w:bCs/>
                <w:color w:val="333333"/>
                <w:sz w:val="28"/>
                <w:szCs w:val="28"/>
              </w:rPr>
              <w:t>评价项目</w:t>
            </w:r>
          </w:p>
        </w:tc>
        <w:tc>
          <w:tcPr>
            <w:tcW w:w="5481" w:type="dxa"/>
            <w:vAlign w:val="center"/>
          </w:tcPr>
          <w:p w:rsidR="004C49FE" w:rsidRPr="007F56B1" w:rsidRDefault="004C49FE" w:rsidP="006F6532">
            <w:pPr>
              <w:pStyle w:val="p0"/>
              <w:jc w:val="center"/>
              <w:rPr>
                <w:rFonts w:ascii="仿宋_GB2312" w:eastAsia="仿宋_GB2312" w:hAnsi="宋体" w:hint="eastAsia"/>
                <w:color w:val="333333"/>
                <w:sz w:val="28"/>
                <w:szCs w:val="28"/>
              </w:rPr>
            </w:pPr>
            <w:r w:rsidRPr="007F56B1">
              <w:rPr>
                <w:rFonts w:ascii="仿宋_GB2312" w:eastAsia="仿宋_GB2312" w:hAnsi="宋体" w:hint="eastAsia"/>
                <w:b/>
                <w:bCs/>
                <w:color w:val="333333"/>
                <w:sz w:val="28"/>
                <w:szCs w:val="28"/>
              </w:rPr>
              <w:t>具体标准</w:t>
            </w:r>
          </w:p>
        </w:tc>
        <w:tc>
          <w:tcPr>
            <w:tcW w:w="1493" w:type="dxa"/>
            <w:vAlign w:val="center"/>
          </w:tcPr>
          <w:p w:rsidR="004C49FE" w:rsidRPr="007F56B1" w:rsidRDefault="004C49FE" w:rsidP="006F6532">
            <w:pPr>
              <w:pStyle w:val="p0"/>
              <w:ind w:firstLineChars="49" w:firstLine="138"/>
              <w:rPr>
                <w:rFonts w:ascii="仿宋_GB2312" w:eastAsia="仿宋_GB2312" w:hAnsi="宋体" w:hint="eastAsia"/>
                <w:color w:val="333333"/>
                <w:sz w:val="28"/>
                <w:szCs w:val="28"/>
              </w:rPr>
            </w:pPr>
            <w:r w:rsidRPr="007F56B1">
              <w:rPr>
                <w:rFonts w:ascii="仿宋_GB2312" w:eastAsia="仿宋_GB2312" w:hAnsi="宋体" w:hint="eastAsia"/>
                <w:b/>
                <w:bCs/>
                <w:color w:val="333333"/>
                <w:sz w:val="28"/>
                <w:szCs w:val="28"/>
              </w:rPr>
              <w:t>满分分值</w:t>
            </w:r>
          </w:p>
        </w:tc>
      </w:tr>
      <w:tr w:rsidR="004C49FE" w:rsidTr="006F6532">
        <w:tc>
          <w:tcPr>
            <w:tcW w:w="1548" w:type="dxa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作品内容</w:t>
            </w: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主题鲜明突出、内容积极向上的经典作品</w:t>
            </w:r>
          </w:p>
        </w:tc>
        <w:tc>
          <w:tcPr>
            <w:tcW w:w="1493" w:type="dxa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10</w:t>
            </w:r>
          </w:p>
        </w:tc>
      </w:tr>
      <w:tr w:rsidR="004C49FE" w:rsidTr="006F6532">
        <w:tc>
          <w:tcPr>
            <w:tcW w:w="1548" w:type="dxa"/>
            <w:vMerge w:val="restart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诵读表达</w:t>
            </w: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能正确把握经典作品的内容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声情并茂，表达自然，诵读富有韵味和表现力</w:t>
            </w:r>
          </w:p>
        </w:tc>
        <w:tc>
          <w:tcPr>
            <w:tcW w:w="1493" w:type="dxa"/>
            <w:vMerge w:val="restart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60</w:t>
            </w:r>
          </w:p>
        </w:tc>
      </w:tr>
      <w:tr w:rsidR="004C49FE" w:rsidTr="006F6532">
        <w:tc>
          <w:tcPr>
            <w:tcW w:w="1548" w:type="dxa"/>
            <w:vMerge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诵读熟练，整齐划一</w:t>
            </w:r>
          </w:p>
        </w:tc>
        <w:tc>
          <w:tcPr>
            <w:tcW w:w="1493" w:type="dxa"/>
            <w:vMerge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4C49FE" w:rsidTr="006F6532">
        <w:tc>
          <w:tcPr>
            <w:tcW w:w="1548" w:type="dxa"/>
            <w:vMerge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 xml:space="preserve">吐字清晰、声音宏亮、能正确把握诵读的语气、语调、节奏 </w:t>
            </w:r>
          </w:p>
        </w:tc>
        <w:tc>
          <w:tcPr>
            <w:tcW w:w="1493" w:type="dxa"/>
            <w:vMerge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4C49FE" w:rsidTr="006F6532">
        <w:tc>
          <w:tcPr>
            <w:tcW w:w="1548" w:type="dxa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舞台效果</w:t>
            </w: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舞台形式新颖独特，音乐与内容契合好、感染力强</w:t>
            </w: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20</w:t>
            </w:r>
          </w:p>
        </w:tc>
      </w:tr>
      <w:tr w:rsidR="004C49FE" w:rsidTr="006F6532">
        <w:tc>
          <w:tcPr>
            <w:tcW w:w="1548" w:type="dxa"/>
            <w:vMerge w:val="restart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舞台表现</w:t>
            </w: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着装：大方得体</w:t>
            </w:r>
          </w:p>
        </w:tc>
        <w:tc>
          <w:tcPr>
            <w:tcW w:w="1493" w:type="dxa"/>
            <w:vMerge w:val="restart"/>
            <w:vAlign w:val="center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10</w:t>
            </w:r>
          </w:p>
        </w:tc>
      </w:tr>
      <w:tr w:rsidR="004C49FE" w:rsidTr="006F6532">
        <w:tc>
          <w:tcPr>
            <w:tcW w:w="1548" w:type="dxa"/>
            <w:vMerge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表情姿态：自然投入</w:t>
            </w:r>
          </w:p>
        </w:tc>
        <w:tc>
          <w:tcPr>
            <w:tcW w:w="1493" w:type="dxa"/>
            <w:vMerge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4C49FE" w:rsidTr="006F6532">
        <w:tc>
          <w:tcPr>
            <w:tcW w:w="1548" w:type="dxa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总分</w:t>
            </w:r>
          </w:p>
        </w:tc>
        <w:tc>
          <w:tcPr>
            <w:tcW w:w="5481" w:type="dxa"/>
          </w:tcPr>
          <w:p w:rsidR="004C49FE" w:rsidRPr="00D05B2E" w:rsidRDefault="004C49FE" w:rsidP="006F6532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93" w:type="dxa"/>
          </w:tcPr>
          <w:p w:rsidR="004C49FE" w:rsidRPr="00D05B2E" w:rsidRDefault="004C49FE" w:rsidP="006F65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05B2E">
              <w:rPr>
                <w:rFonts w:ascii="仿宋_GB2312" w:eastAsia="仿宋_GB2312" w:hAnsi="楷体" w:hint="eastAsia"/>
                <w:sz w:val="28"/>
                <w:szCs w:val="28"/>
              </w:rPr>
              <w:t>100</w:t>
            </w:r>
          </w:p>
        </w:tc>
      </w:tr>
    </w:tbl>
    <w:p w:rsidR="004C49FE" w:rsidRDefault="004C49FE" w:rsidP="004C49FE">
      <w:pPr>
        <w:rPr>
          <w:rFonts w:ascii="楷体" w:eastAsia="楷体" w:hAnsi="楷体" w:hint="eastAsia"/>
        </w:rPr>
      </w:pPr>
    </w:p>
    <w:p w:rsidR="00213E97" w:rsidRDefault="00213E97"/>
    <w:sectPr w:rsidR="00213E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文泉驿微米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FE"/>
    <w:rsid w:val="00213E97"/>
    <w:rsid w:val="004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C49FE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C49F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2018-11-02T10:16:00Z</dcterms:created>
  <dcterms:modified xsi:type="dcterms:W3CDTF">2018-11-02T10:16:00Z</dcterms:modified>
</cp:coreProperties>
</file>